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1D69" w14:textId="3414B553" w:rsidR="00AB58E7" w:rsidRDefault="00AB58E7" w:rsidP="00091B98">
      <w:pPr>
        <w:rPr>
          <w:b/>
          <w:bCs/>
        </w:rPr>
      </w:pPr>
      <w:r>
        <w:rPr>
          <w:b/>
          <w:bCs/>
        </w:rPr>
        <w:t>Ersättningsrapport Byggmästare Anders J Ahlström Holding AB 202</w:t>
      </w:r>
      <w:r w:rsidR="00B94472">
        <w:rPr>
          <w:b/>
          <w:bCs/>
        </w:rPr>
        <w:t>5</w:t>
      </w:r>
    </w:p>
    <w:p w14:paraId="0D616791" w14:textId="77777777" w:rsidR="00AB58E7" w:rsidRDefault="00AB58E7" w:rsidP="00091B98">
      <w:pPr>
        <w:rPr>
          <w:b/>
          <w:bCs/>
        </w:rPr>
      </w:pPr>
    </w:p>
    <w:p w14:paraId="2B91CA18" w14:textId="06372A60" w:rsidR="00091B98" w:rsidRPr="00091B98" w:rsidRDefault="00091B98" w:rsidP="00091B98">
      <w:r w:rsidRPr="00091B98">
        <w:rPr>
          <w:b/>
          <w:bCs/>
        </w:rPr>
        <w:t>1. Inledning</w:t>
      </w:r>
    </w:p>
    <w:p w14:paraId="1302D3A9" w14:textId="77777777" w:rsidR="00091B98" w:rsidRPr="00091B98" w:rsidRDefault="00091B98" w:rsidP="00091B98">
      <w:r w:rsidRPr="00091B98">
        <w:t>Denna ersättningsrapport har upprättats av styrelsen för Byggmästare Anders J Ahlström Holding AB (publ) i enlighet med årsredovisningslagen och de riktlinjer som fastställts av bolagsstämman. Syftet med rapporten är att ge en transparent och tydlig redogörelse för ersättningar till den verkställande direktören och andra ledande befattningshavare under det senaste räkenskapsåret.</w:t>
      </w:r>
    </w:p>
    <w:p w14:paraId="6E7EC52C" w14:textId="77777777" w:rsidR="00091B98" w:rsidRPr="00091B98" w:rsidRDefault="00091B98" w:rsidP="00091B98">
      <w:r w:rsidRPr="00091B98">
        <w:t>Ersättningssystemet är utformat för att stödja bolagets affärsstrategi, långsiktiga intressen och hållbarhet. Genom att erbjuda konkurrenskraftiga ersättningar strävar bolaget efter att attrahera, motivera och behålla kvalificerade nyckelpersoner som kan bidra till bolagets fortsatta utveckling och värdeskapande för aktieägarna. Rapporten beskriver ersättningens struktur, omfattning och efterlevnad av de riktlinjer som beslutats av bolagsstämman.</w:t>
      </w:r>
    </w:p>
    <w:p w14:paraId="105F0D77" w14:textId="77777777" w:rsidR="00091B98" w:rsidRPr="00091B98" w:rsidRDefault="00091B98" w:rsidP="00091B98">
      <w:r w:rsidRPr="00091B98">
        <w:rPr>
          <w:b/>
          <w:bCs/>
        </w:rPr>
        <w:t>2. Ersättningspolicy</w:t>
      </w:r>
    </w:p>
    <w:p w14:paraId="29945809" w14:textId="77777777" w:rsidR="00091B98" w:rsidRPr="00091B98" w:rsidRDefault="00091B98" w:rsidP="00091B98">
      <w:r w:rsidRPr="00091B98">
        <w:t>Bolagets ersättningspolicy fastställer principerna för ersättning till den verkställande direktören och andra ledande befattningshavare. Ersättningen ska vara marknadsmässig och bestå av följande komponenter:</w:t>
      </w:r>
    </w:p>
    <w:p w14:paraId="3B0227E3" w14:textId="77777777" w:rsidR="00091B98" w:rsidRPr="00091B98" w:rsidRDefault="00091B98" w:rsidP="00091B98">
      <w:pPr>
        <w:numPr>
          <w:ilvl w:val="0"/>
          <w:numId w:val="1"/>
        </w:numPr>
      </w:pPr>
      <w:r w:rsidRPr="00091B98">
        <w:rPr>
          <w:b/>
          <w:bCs/>
        </w:rPr>
        <w:t>Fast kontantlön</w:t>
      </w:r>
      <w:r w:rsidRPr="00091B98">
        <w:t xml:space="preserve"> – Baseras på befattningens krav, individens erfarenhet och prestation.</w:t>
      </w:r>
    </w:p>
    <w:p w14:paraId="5CC10867" w14:textId="77777777" w:rsidR="00091B98" w:rsidRPr="00091B98" w:rsidRDefault="00091B98" w:rsidP="00091B98">
      <w:pPr>
        <w:numPr>
          <w:ilvl w:val="0"/>
          <w:numId w:val="1"/>
        </w:numPr>
      </w:pPr>
      <w:r w:rsidRPr="00091B98">
        <w:rPr>
          <w:b/>
          <w:bCs/>
        </w:rPr>
        <w:t>Rörlig kontantersättning</w:t>
      </w:r>
      <w:r w:rsidRPr="00091B98">
        <w:t xml:space="preserve"> – Ska vara kopplad till förutbestämda och mätbara kriterier som främjar bolagets affärsstrategi och långsiktiga intressen. För VD kan den uppgå till högst 100 % av den fasta kontantlönen, medan den för andra ledande befattningshavare kan uppgå till högst 50 %.</w:t>
      </w:r>
    </w:p>
    <w:p w14:paraId="746C488F" w14:textId="77777777" w:rsidR="00091B98" w:rsidRPr="00091B98" w:rsidRDefault="00091B98" w:rsidP="00091B98">
      <w:pPr>
        <w:numPr>
          <w:ilvl w:val="0"/>
          <w:numId w:val="1"/>
        </w:numPr>
      </w:pPr>
      <w:r w:rsidRPr="00091B98">
        <w:rPr>
          <w:b/>
          <w:bCs/>
        </w:rPr>
        <w:t>Pensionsförmåner</w:t>
      </w:r>
      <w:r w:rsidRPr="00091B98">
        <w:t xml:space="preserve"> – Premiebestämda pensionsavtal där premierna för VD får uppgå till högst 25 % av den fasta kontantlönen.</w:t>
      </w:r>
    </w:p>
    <w:p w14:paraId="79287A6D" w14:textId="77777777" w:rsidR="00091B98" w:rsidRPr="00091B98" w:rsidRDefault="00091B98" w:rsidP="00091B98">
      <w:pPr>
        <w:numPr>
          <w:ilvl w:val="0"/>
          <w:numId w:val="1"/>
        </w:numPr>
      </w:pPr>
      <w:r w:rsidRPr="00091B98">
        <w:rPr>
          <w:b/>
          <w:bCs/>
        </w:rPr>
        <w:t>Övriga förmåner</w:t>
      </w:r>
      <w:r w:rsidRPr="00091B98">
        <w:t xml:space="preserve"> – Kan innefatta exempelvis sjukvårdsförsäkring och livförsäkring, med en maximal kostnad om 15 % av den fasta kontantlönen.</w:t>
      </w:r>
    </w:p>
    <w:p w14:paraId="20ED97C4" w14:textId="77777777" w:rsidR="00091B98" w:rsidRPr="00091B98" w:rsidRDefault="00091B98" w:rsidP="00091B98">
      <w:r w:rsidRPr="00091B98">
        <w:t>Bolagsstämman kan dessutom besluta om aktie- och aktiekursrelaterade incitamentsprogram, vilka ligger utanför dessa riktlinjer.</w:t>
      </w:r>
    </w:p>
    <w:p w14:paraId="55E410E5" w14:textId="77777777" w:rsidR="00091B98" w:rsidRPr="00091B98" w:rsidRDefault="00091B98" w:rsidP="00091B98">
      <w:r w:rsidRPr="00091B98">
        <w:t>Vid upphörande av anställning gäller en uppsägningstid om högst 12 månader. Avgångsvederlag kan utgå med upp till två års fast kontantlön för VD och ett års fast kontantlön för övriga ledande befattningshavare.</w:t>
      </w:r>
    </w:p>
    <w:p w14:paraId="11923B73" w14:textId="4027C4E8" w:rsidR="0062578D" w:rsidRPr="0062578D" w:rsidRDefault="0062578D" w:rsidP="00091B98">
      <w:pPr>
        <w:rPr>
          <w:b/>
          <w:bCs/>
        </w:rPr>
      </w:pPr>
      <w:r w:rsidRPr="0062578D">
        <w:rPr>
          <w:b/>
          <w:bCs/>
        </w:rPr>
        <w:t>3. Tillämpning av riktlinjerna under året</w:t>
      </w:r>
    </w:p>
    <w:p w14:paraId="2969011A" w14:textId="2862E2FF" w:rsidR="00091B98" w:rsidRPr="00091B98" w:rsidRDefault="008146F1" w:rsidP="00091B98">
      <w:r>
        <w:lastRenderedPageBreak/>
        <w:t>Ersättningsutskottet</w:t>
      </w:r>
      <w:r w:rsidR="00091B98" w:rsidRPr="00091B98">
        <w:t xml:space="preserve"> följer och utvärderar kontinuerligt tillämpningen av ersättningsriktlinjerna för att säkerställa att de understödjer bolagets affärsstrategi och långsiktiga värdeskapande.</w:t>
      </w:r>
    </w:p>
    <w:p w14:paraId="725DB324" w14:textId="4FEE672E" w:rsidR="0062578D" w:rsidRPr="0062578D" w:rsidRDefault="0062578D" w:rsidP="0062578D">
      <w:r w:rsidRPr="0062578D">
        <w:t>Under året har ersättningen till VD och övriga ledande befattningshavare följt de av bolagsstämman fastställda riktlinjerna.</w:t>
      </w:r>
    </w:p>
    <w:p w14:paraId="0FAE5402" w14:textId="2CF0C4B5" w:rsidR="0062578D" w:rsidRPr="0062578D" w:rsidRDefault="0062578D" w:rsidP="0062578D">
      <w:r w:rsidRPr="0062578D">
        <w:t xml:space="preserve">VD har erhållit en fast ersättningsram där en del har disponerats som pensionsavsättning, motsvarande </w:t>
      </w:r>
      <w:r w:rsidR="00180F53">
        <w:t>ca 0,1</w:t>
      </w:r>
      <w:r w:rsidRPr="0062578D">
        <w:t xml:space="preserve"> % av den fasta ersättningen.</w:t>
      </w:r>
      <w:r w:rsidR="008146F1">
        <w:t xml:space="preserve"> All ersättning som VD och ledande befattningshavare får från styrelsearbete i portföljbolagen avräknas lönen från Byggmästaren. Detta gör att den fasta ersättningen i tabellen nedan är lägre än den kontraktila ersättningen.</w:t>
      </w:r>
      <w:r w:rsidRPr="0062578D">
        <w:t xml:space="preserve"> Den rörliga ersättningen har baserats på utvecklingen av bolagets aktiekurs i förhållande till marknaden och har fastställts samt godkänts av ersättningsutskottet. Den rörliga ersättningen </w:t>
      </w:r>
      <w:r w:rsidR="00BE6665">
        <w:t>för 202</w:t>
      </w:r>
      <w:r w:rsidR="00A002DF">
        <w:t>5</w:t>
      </w:r>
      <w:r w:rsidR="00BE6665">
        <w:t xml:space="preserve"> blev 0</w:t>
      </w:r>
      <w:r w:rsidRPr="0062578D">
        <w:t>.</w:t>
      </w:r>
    </w:p>
    <w:p w14:paraId="0C5594B4" w14:textId="1A7F4E22" w:rsidR="0062578D" w:rsidRPr="0062578D" w:rsidRDefault="0062578D" w:rsidP="0062578D">
      <w:r w:rsidRPr="0062578D">
        <w:t xml:space="preserve">Inga avvikelser från riktlinjerna har gjorts och inga särskilda beslut har tagits utöver de ordinarie ersättningskomponenterna. Ersättningsstrukturen har varit oförändrad jämfört med föregående år. Den totala utbetalda ersättningen har </w:t>
      </w:r>
      <w:r w:rsidR="00C12871">
        <w:t>minskat</w:t>
      </w:r>
      <w:r w:rsidRPr="0062578D">
        <w:t>, men de maximala ersättningsnivåerna har varit oförändrade.</w:t>
      </w:r>
    </w:p>
    <w:p w14:paraId="4471EB92" w14:textId="512DE2B6" w:rsidR="0062578D" w:rsidRPr="0062578D" w:rsidRDefault="0062578D" w:rsidP="0062578D">
      <w:pPr>
        <w:rPr>
          <w:b/>
          <w:bCs/>
        </w:rPr>
      </w:pPr>
      <w:r w:rsidRPr="0062578D">
        <w:rPr>
          <w:b/>
          <w:bCs/>
        </w:rPr>
        <w:t>4. Utfall av ersättningar</w:t>
      </w:r>
    </w:p>
    <w:p w14:paraId="1DC86500" w14:textId="741E2B59" w:rsidR="0062578D" w:rsidRPr="0062578D" w:rsidRDefault="0062578D" w:rsidP="0062578D">
      <w:r w:rsidRPr="0062578D">
        <w:t>Under året har ersättningen till VD och övriga ledande befattningshavare följt de av bolagsstämman fastställda riktlinjerna.</w:t>
      </w:r>
    </w:p>
    <w:p w14:paraId="2BD7702B" w14:textId="0D8661A5" w:rsidR="0062578D" w:rsidRPr="0062578D" w:rsidRDefault="00B25FB7" w:rsidP="0062578D">
      <w:r w:rsidRPr="00B25FB7">
        <w:t>Den fasta ersättningen för VD</w:t>
      </w:r>
      <w:r w:rsidR="00B80F96">
        <w:t xml:space="preserve"> har ökat med 10%.</w:t>
      </w:r>
      <w:r w:rsidRPr="00B25FB7">
        <w:t xml:space="preserve"> VD </w:t>
      </w:r>
      <w:r w:rsidR="00A002DF">
        <w:t xml:space="preserve">har </w:t>
      </w:r>
      <w:r w:rsidRPr="00B25FB7">
        <w:t xml:space="preserve">valt att löneväxla och minimera pensionsavsättningar till förmån för en högre kontant lön, varför pensionskostnaden för VD understiger </w:t>
      </w:r>
      <w:r w:rsidR="00722E56">
        <w:t>tidigare år.</w:t>
      </w:r>
      <w:r w:rsidRPr="00B25FB7">
        <w:t xml:space="preserve"> </w:t>
      </w:r>
      <w:r w:rsidR="00722E56">
        <w:t>Ö</w:t>
      </w:r>
      <w:r w:rsidRPr="00B25FB7">
        <w:t>vriga ledande befattningshavare</w:t>
      </w:r>
      <w:r w:rsidR="00A002DF">
        <w:t xml:space="preserve"> har</w:t>
      </w:r>
      <w:r w:rsidRPr="00B25FB7">
        <w:t xml:space="preserve"> erhållit en justerad fast ersättning inom ramen för ordinarie lönerevision. Även kostnader för övriga förmåner har varit oförändrade.</w:t>
      </w:r>
      <w:r w:rsidR="00F02481">
        <w:t xml:space="preserve"> </w:t>
      </w:r>
      <w:r w:rsidR="00AC66BA">
        <w:t xml:space="preserve">VD har fått lön från portföljbolag för styrelseuppdrag om </w:t>
      </w:r>
      <w:r w:rsidR="00EA5BF2">
        <w:t>565</w:t>
      </w:r>
      <w:r w:rsidR="00AC66BA">
        <w:t xml:space="preserve"> tkr.</w:t>
      </w:r>
    </w:p>
    <w:p w14:paraId="02F6D9D2" w14:textId="27101EDC" w:rsidR="0062578D" w:rsidRPr="0062578D" w:rsidRDefault="0062578D" w:rsidP="0062578D">
      <w:r w:rsidRPr="0062578D">
        <w:t xml:space="preserve">Utfallet av den rörliga ersättningen uppgick till </w:t>
      </w:r>
      <w:r w:rsidR="007B4E05">
        <w:t>0</w:t>
      </w:r>
      <w:r w:rsidRPr="0062578D">
        <w:t xml:space="preserve"> % av </w:t>
      </w:r>
      <w:r w:rsidR="008146F1">
        <w:t>den avtalade</w:t>
      </w:r>
      <w:r w:rsidRPr="0062578D">
        <w:t xml:space="preserve"> nivån för </w:t>
      </w:r>
      <w:r w:rsidR="005E04DF">
        <w:t>VD</w:t>
      </w:r>
      <w:r w:rsidR="00A002DF">
        <w:t xml:space="preserve"> vilket</w:t>
      </w:r>
      <w:r w:rsidRPr="0062578D">
        <w:t xml:space="preserve"> basera</w:t>
      </w:r>
      <w:r w:rsidR="005E04DF">
        <w:t>s</w:t>
      </w:r>
      <w:r w:rsidRPr="0062578D">
        <w:t xml:space="preserve"> på bolagets aktiekursutveckling i förhållande till marknaden. </w:t>
      </w:r>
    </w:p>
    <w:p w14:paraId="530F099B" w14:textId="77777777" w:rsidR="0062578D" w:rsidRDefault="0062578D" w:rsidP="0062578D">
      <w:r w:rsidRPr="0062578D">
        <w:t>Jämfört med föregående år har den totala utbetalda ersättningen ökat, då ingen rörlig ersättning betalades ut föregående år. De maximala ersättningsnivåerna har dock varit oförändrade.</w:t>
      </w:r>
    </w:p>
    <w:tbl>
      <w:tblPr>
        <w:tblW w:w="8128" w:type="dxa"/>
        <w:tblCellMar>
          <w:left w:w="70" w:type="dxa"/>
          <w:right w:w="70" w:type="dxa"/>
        </w:tblCellMar>
        <w:tblLook w:val="04A0" w:firstRow="1" w:lastRow="0" w:firstColumn="1" w:lastColumn="0" w:noHBand="0" w:noVBand="1"/>
      </w:tblPr>
      <w:tblGrid>
        <w:gridCol w:w="2447"/>
        <w:gridCol w:w="856"/>
        <w:gridCol w:w="885"/>
        <w:gridCol w:w="1372"/>
        <w:gridCol w:w="856"/>
        <w:gridCol w:w="856"/>
        <w:gridCol w:w="856"/>
      </w:tblGrid>
      <w:tr w:rsidR="00A002DF" w:rsidRPr="00AC66BA" w14:paraId="78719852" w14:textId="77777777" w:rsidTr="00215955">
        <w:trPr>
          <w:trHeight w:val="315"/>
        </w:trPr>
        <w:tc>
          <w:tcPr>
            <w:tcW w:w="8128" w:type="dxa"/>
            <w:gridSpan w:val="7"/>
            <w:tcBorders>
              <w:top w:val="nil"/>
              <w:left w:val="nil"/>
              <w:bottom w:val="nil"/>
              <w:right w:val="nil"/>
            </w:tcBorders>
            <w:shd w:val="clear" w:color="auto" w:fill="196B24" w:themeFill="accent3"/>
            <w:noWrap/>
            <w:vAlign w:val="bottom"/>
          </w:tcPr>
          <w:p w14:paraId="773647E8" w14:textId="322B5B5C" w:rsidR="00A002DF" w:rsidRPr="00A002DF" w:rsidRDefault="00A002DF" w:rsidP="00A002DF">
            <w:pPr>
              <w:spacing w:after="0" w:line="240" w:lineRule="auto"/>
              <w:jc w:val="center"/>
              <w:rPr>
                <w:rFonts w:ascii="Calibri" w:eastAsia="Times New Roman" w:hAnsi="Calibri" w:cs="Calibri"/>
                <w:b/>
                <w:bCs/>
                <w:color w:val="FFFFFF" w:themeColor="background1"/>
                <w:kern w:val="0"/>
                <w:sz w:val="18"/>
                <w:szCs w:val="18"/>
                <w:lang w:eastAsia="sv-SE"/>
                <w14:ligatures w14:val="none"/>
              </w:rPr>
            </w:pPr>
            <w:r w:rsidRPr="00A002DF">
              <w:rPr>
                <w:rFonts w:ascii="Calibri" w:eastAsia="Times New Roman" w:hAnsi="Calibri" w:cs="Calibri"/>
                <w:b/>
                <w:bCs/>
                <w:color w:val="FFFFFF" w:themeColor="background1"/>
                <w:kern w:val="0"/>
                <w:sz w:val="18"/>
                <w:szCs w:val="18"/>
                <w:lang w:eastAsia="sv-SE"/>
                <w14:ligatures w14:val="none"/>
              </w:rPr>
              <w:t>TOTAL ERSÄTTNING</w:t>
            </w:r>
          </w:p>
        </w:tc>
      </w:tr>
      <w:tr w:rsidR="00AC66BA" w:rsidRPr="00AC66BA" w14:paraId="49353C35" w14:textId="77777777" w:rsidTr="00CA5E2D">
        <w:trPr>
          <w:trHeight w:val="315"/>
        </w:trPr>
        <w:tc>
          <w:tcPr>
            <w:tcW w:w="2447" w:type="dxa"/>
            <w:tcBorders>
              <w:top w:val="nil"/>
              <w:left w:val="nil"/>
              <w:bottom w:val="nil"/>
              <w:right w:val="nil"/>
            </w:tcBorders>
            <w:shd w:val="clear" w:color="auto" w:fill="196B24" w:themeFill="accent3"/>
            <w:noWrap/>
            <w:vAlign w:val="bottom"/>
            <w:hideMark/>
          </w:tcPr>
          <w:p w14:paraId="39A9D1F3" w14:textId="77777777" w:rsidR="00AC66BA" w:rsidRPr="00AC66BA" w:rsidRDefault="00AC66BA" w:rsidP="00AC66BA">
            <w:pPr>
              <w:spacing w:after="0" w:line="240" w:lineRule="auto"/>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Löner och andra ersättningar</w:t>
            </w:r>
          </w:p>
        </w:tc>
        <w:tc>
          <w:tcPr>
            <w:tcW w:w="856" w:type="dxa"/>
            <w:tcBorders>
              <w:top w:val="nil"/>
              <w:left w:val="nil"/>
              <w:bottom w:val="nil"/>
              <w:right w:val="nil"/>
            </w:tcBorders>
            <w:shd w:val="clear" w:color="auto" w:fill="196B24" w:themeFill="accent3"/>
            <w:noWrap/>
            <w:vAlign w:val="bottom"/>
            <w:hideMark/>
          </w:tcPr>
          <w:p w14:paraId="42E83503" w14:textId="77777777" w:rsidR="00AC66BA" w:rsidRPr="00AC66BA" w:rsidRDefault="00AC66BA" w:rsidP="00AC66BA">
            <w:pPr>
              <w:spacing w:after="0" w:line="240" w:lineRule="auto"/>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Grundlön</w:t>
            </w:r>
          </w:p>
        </w:tc>
        <w:tc>
          <w:tcPr>
            <w:tcW w:w="885" w:type="dxa"/>
            <w:tcBorders>
              <w:top w:val="nil"/>
              <w:left w:val="nil"/>
              <w:bottom w:val="nil"/>
              <w:right w:val="nil"/>
            </w:tcBorders>
            <w:shd w:val="clear" w:color="auto" w:fill="196B24" w:themeFill="accent3"/>
            <w:noWrap/>
            <w:vAlign w:val="bottom"/>
            <w:hideMark/>
          </w:tcPr>
          <w:p w14:paraId="614696D8" w14:textId="77777777" w:rsidR="00AC66BA" w:rsidRPr="00AC66BA" w:rsidRDefault="00AC66BA" w:rsidP="00AC66BA">
            <w:pPr>
              <w:spacing w:after="0" w:line="240" w:lineRule="auto"/>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Rörlig ersättning</w:t>
            </w:r>
          </w:p>
        </w:tc>
        <w:tc>
          <w:tcPr>
            <w:tcW w:w="1372" w:type="dxa"/>
            <w:tcBorders>
              <w:top w:val="nil"/>
              <w:left w:val="nil"/>
              <w:bottom w:val="nil"/>
              <w:right w:val="nil"/>
            </w:tcBorders>
            <w:shd w:val="clear" w:color="auto" w:fill="196B24" w:themeFill="accent3"/>
            <w:noWrap/>
            <w:vAlign w:val="bottom"/>
            <w:hideMark/>
          </w:tcPr>
          <w:p w14:paraId="6C15C5BE" w14:textId="77777777" w:rsidR="00AC66BA" w:rsidRPr="00AC66BA" w:rsidRDefault="00AC66BA" w:rsidP="00AC66BA">
            <w:pPr>
              <w:spacing w:after="0" w:line="240" w:lineRule="auto"/>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Pensionskostnad</w:t>
            </w:r>
          </w:p>
        </w:tc>
        <w:tc>
          <w:tcPr>
            <w:tcW w:w="856" w:type="dxa"/>
            <w:tcBorders>
              <w:top w:val="nil"/>
              <w:left w:val="nil"/>
              <w:bottom w:val="nil"/>
              <w:right w:val="nil"/>
            </w:tcBorders>
            <w:shd w:val="clear" w:color="auto" w:fill="196B24" w:themeFill="accent3"/>
            <w:noWrap/>
            <w:vAlign w:val="bottom"/>
            <w:hideMark/>
          </w:tcPr>
          <w:p w14:paraId="1A4FEBBC" w14:textId="77777777" w:rsidR="00AC66BA" w:rsidRPr="00AC66BA" w:rsidRDefault="00AC66BA" w:rsidP="00AC66BA">
            <w:pPr>
              <w:spacing w:after="0" w:line="240" w:lineRule="auto"/>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Övriga förmåner</w:t>
            </w:r>
          </w:p>
        </w:tc>
        <w:tc>
          <w:tcPr>
            <w:tcW w:w="856" w:type="dxa"/>
            <w:tcBorders>
              <w:top w:val="nil"/>
              <w:left w:val="nil"/>
              <w:bottom w:val="nil"/>
              <w:right w:val="nil"/>
            </w:tcBorders>
            <w:shd w:val="clear" w:color="auto" w:fill="196B24" w:themeFill="accent3"/>
            <w:noWrap/>
            <w:vAlign w:val="bottom"/>
            <w:hideMark/>
          </w:tcPr>
          <w:p w14:paraId="07133962" w14:textId="2A18117F" w:rsidR="00AC66BA" w:rsidRPr="00AC66BA" w:rsidRDefault="00AC66BA" w:rsidP="00AC66BA">
            <w:pPr>
              <w:spacing w:after="0" w:line="240" w:lineRule="auto"/>
              <w:jc w:val="right"/>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202</w:t>
            </w:r>
            <w:r w:rsidR="00A420D2">
              <w:rPr>
                <w:rFonts w:ascii="Calibri" w:eastAsia="Times New Roman" w:hAnsi="Calibri" w:cs="Calibri"/>
                <w:color w:val="FFFFFF" w:themeColor="background1"/>
                <w:kern w:val="0"/>
                <w:sz w:val="18"/>
                <w:szCs w:val="18"/>
                <w:lang w:eastAsia="sv-SE"/>
                <w14:ligatures w14:val="none"/>
              </w:rPr>
              <w:t>5</w:t>
            </w:r>
          </w:p>
        </w:tc>
        <w:tc>
          <w:tcPr>
            <w:tcW w:w="856" w:type="dxa"/>
            <w:tcBorders>
              <w:top w:val="nil"/>
              <w:left w:val="nil"/>
              <w:bottom w:val="nil"/>
              <w:right w:val="nil"/>
            </w:tcBorders>
            <w:shd w:val="clear" w:color="auto" w:fill="196B24" w:themeFill="accent3"/>
            <w:noWrap/>
            <w:vAlign w:val="bottom"/>
            <w:hideMark/>
          </w:tcPr>
          <w:p w14:paraId="078D0CEB" w14:textId="52FD140E" w:rsidR="00AC66BA" w:rsidRPr="00AC66BA" w:rsidRDefault="00AC66BA" w:rsidP="00AC66BA">
            <w:pPr>
              <w:spacing w:after="0" w:line="240" w:lineRule="auto"/>
              <w:jc w:val="right"/>
              <w:rPr>
                <w:rFonts w:ascii="Calibri" w:eastAsia="Times New Roman" w:hAnsi="Calibri" w:cs="Calibri"/>
                <w:color w:val="FFFFFF" w:themeColor="background1"/>
                <w:kern w:val="0"/>
                <w:sz w:val="18"/>
                <w:szCs w:val="18"/>
                <w:lang w:eastAsia="sv-SE"/>
                <w14:ligatures w14:val="none"/>
              </w:rPr>
            </w:pPr>
            <w:r w:rsidRPr="00AC66BA">
              <w:rPr>
                <w:rFonts w:ascii="Calibri" w:eastAsia="Times New Roman" w:hAnsi="Calibri" w:cs="Calibri"/>
                <w:color w:val="FFFFFF" w:themeColor="background1"/>
                <w:kern w:val="0"/>
                <w:sz w:val="18"/>
                <w:szCs w:val="18"/>
                <w:lang w:eastAsia="sv-SE"/>
                <w14:ligatures w14:val="none"/>
              </w:rPr>
              <w:t>202</w:t>
            </w:r>
            <w:r w:rsidR="00A420D2">
              <w:rPr>
                <w:rFonts w:ascii="Calibri" w:eastAsia="Times New Roman" w:hAnsi="Calibri" w:cs="Calibri"/>
                <w:color w:val="FFFFFF" w:themeColor="background1"/>
                <w:kern w:val="0"/>
                <w:sz w:val="18"/>
                <w:szCs w:val="18"/>
                <w:lang w:eastAsia="sv-SE"/>
                <w14:ligatures w14:val="none"/>
              </w:rPr>
              <w:t>4</w:t>
            </w:r>
          </w:p>
        </w:tc>
      </w:tr>
      <w:tr w:rsidR="00AC66BA" w:rsidRPr="00AC66BA" w14:paraId="513CF39B" w14:textId="77777777" w:rsidTr="00CA5E2D">
        <w:trPr>
          <w:trHeight w:val="240"/>
        </w:trPr>
        <w:tc>
          <w:tcPr>
            <w:tcW w:w="2447" w:type="dxa"/>
            <w:tcBorders>
              <w:top w:val="nil"/>
              <w:left w:val="nil"/>
              <w:bottom w:val="nil"/>
              <w:right w:val="nil"/>
            </w:tcBorders>
            <w:noWrap/>
            <w:vAlign w:val="bottom"/>
            <w:hideMark/>
          </w:tcPr>
          <w:p w14:paraId="1A5396DF" w14:textId="77777777" w:rsidR="00AC66BA" w:rsidRPr="00AC66BA" w:rsidRDefault="00AC66BA" w:rsidP="00AC66BA">
            <w:pPr>
              <w:spacing w:after="0" w:line="240" w:lineRule="auto"/>
              <w:rPr>
                <w:rFonts w:ascii="Calibri" w:eastAsia="Times New Roman" w:hAnsi="Calibri" w:cs="Calibri"/>
                <w:color w:val="000000"/>
                <w:kern w:val="0"/>
                <w:sz w:val="18"/>
                <w:szCs w:val="18"/>
                <w:lang w:eastAsia="sv-SE"/>
                <w14:ligatures w14:val="none"/>
              </w:rPr>
            </w:pPr>
            <w:r w:rsidRPr="00AC66BA">
              <w:rPr>
                <w:rFonts w:ascii="Calibri" w:eastAsia="Times New Roman" w:hAnsi="Calibri" w:cs="Calibri"/>
                <w:color w:val="000000"/>
                <w:kern w:val="0"/>
                <w:sz w:val="18"/>
                <w:szCs w:val="18"/>
                <w:lang w:eastAsia="sv-SE"/>
                <w14:ligatures w14:val="none"/>
              </w:rPr>
              <w:t>VD</w:t>
            </w:r>
          </w:p>
        </w:tc>
        <w:tc>
          <w:tcPr>
            <w:tcW w:w="856" w:type="dxa"/>
            <w:tcBorders>
              <w:top w:val="nil"/>
              <w:left w:val="nil"/>
              <w:bottom w:val="nil"/>
              <w:right w:val="nil"/>
            </w:tcBorders>
            <w:noWrap/>
            <w:vAlign w:val="bottom"/>
            <w:hideMark/>
          </w:tcPr>
          <w:p w14:paraId="13CFA5C8" w14:textId="513F8C45" w:rsidR="00AC66BA" w:rsidRPr="00AC66BA" w:rsidRDefault="000E54A8" w:rsidP="00AC66BA">
            <w:pPr>
              <w:spacing w:after="0" w:line="240" w:lineRule="auto"/>
              <w:jc w:val="right"/>
              <w:rPr>
                <w:rFonts w:ascii="Calibri" w:eastAsia="Times New Roman" w:hAnsi="Calibri" w:cs="Calibri"/>
                <w:color w:val="000000"/>
                <w:kern w:val="0"/>
                <w:sz w:val="18"/>
                <w:szCs w:val="18"/>
                <w:lang w:eastAsia="sv-SE"/>
                <w14:ligatures w14:val="none"/>
              </w:rPr>
            </w:pPr>
            <w:r>
              <w:rPr>
                <w:rFonts w:ascii="Calibri" w:eastAsia="Times New Roman" w:hAnsi="Calibri" w:cs="Calibri"/>
                <w:color w:val="000000"/>
                <w:kern w:val="0"/>
                <w:sz w:val="18"/>
                <w:szCs w:val="18"/>
                <w:lang w:eastAsia="sv-SE"/>
                <w14:ligatures w14:val="none"/>
              </w:rPr>
              <w:t>3 294</w:t>
            </w:r>
          </w:p>
        </w:tc>
        <w:tc>
          <w:tcPr>
            <w:tcW w:w="885" w:type="dxa"/>
            <w:tcBorders>
              <w:top w:val="nil"/>
              <w:left w:val="nil"/>
              <w:bottom w:val="nil"/>
              <w:right w:val="nil"/>
            </w:tcBorders>
            <w:noWrap/>
            <w:vAlign w:val="bottom"/>
            <w:hideMark/>
          </w:tcPr>
          <w:p w14:paraId="2017A90C" w14:textId="10278D7D" w:rsidR="00AC66BA" w:rsidRPr="00AC66BA" w:rsidRDefault="000E54A8" w:rsidP="00AC66BA">
            <w:pPr>
              <w:spacing w:after="0" w:line="240" w:lineRule="auto"/>
              <w:jc w:val="right"/>
              <w:rPr>
                <w:rFonts w:ascii="Calibri" w:eastAsia="Times New Roman" w:hAnsi="Calibri" w:cs="Calibri"/>
                <w:color w:val="000000"/>
                <w:kern w:val="0"/>
                <w:sz w:val="18"/>
                <w:szCs w:val="18"/>
                <w:lang w:eastAsia="sv-SE"/>
                <w14:ligatures w14:val="none"/>
              </w:rPr>
            </w:pPr>
            <w:r>
              <w:rPr>
                <w:rFonts w:ascii="Calibri" w:eastAsia="Times New Roman" w:hAnsi="Calibri" w:cs="Calibri"/>
                <w:color w:val="000000"/>
                <w:kern w:val="0"/>
                <w:sz w:val="18"/>
                <w:szCs w:val="18"/>
                <w:lang w:eastAsia="sv-SE"/>
                <w14:ligatures w14:val="none"/>
              </w:rPr>
              <w:t>0</w:t>
            </w:r>
          </w:p>
        </w:tc>
        <w:tc>
          <w:tcPr>
            <w:tcW w:w="1372" w:type="dxa"/>
            <w:tcBorders>
              <w:top w:val="nil"/>
              <w:left w:val="nil"/>
              <w:bottom w:val="nil"/>
              <w:right w:val="nil"/>
            </w:tcBorders>
            <w:noWrap/>
            <w:vAlign w:val="bottom"/>
            <w:hideMark/>
          </w:tcPr>
          <w:p w14:paraId="46BCFE76" w14:textId="33541550" w:rsidR="00AC66BA" w:rsidRPr="00AC66BA" w:rsidRDefault="000E54A8" w:rsidP="00AC66BA">
            <w:pPr>
              <w:spacing w:after="0" w:line="240" w:lineRule="auto"/>
              <w:jc w:val="right"/>
              <w:rPr>
                <w:rFonts w:ascii="Calibri" w:eastAsia="Times New Roman" w:hAnsi="Calibri" w:cs="Calibri"/>
                <w:color w:val="000000"/>
                <w:kern w:val="0"/>
                <w:sz w:val="18"/>
                <w:szCs w:val="18"/>
                <w:lang w:eastAsia="sv-SE"/>
                <w14:ligatures w14:val="none"/>
              </w:rPr>
            </w:pPr>
            <w:r>
              <w:rPr>
                <w:rFonts w:ascii="Calibri" w:eastAsia="Times New Roman" w:hAnsi="Calibri" w:cs="Calibri"/>
                <w:color w:val="000000"/>
                <w:kern w:val="0"/>
                <w:sz w:val="18"/>
                <w:szCs w:val="18"/>
                <w:lang w:eastAsia="sv-SE"/>
                <w14:ligatures w14:val="none"/>
              </w:rPr>
              <w:t>2</w:t>
            </w:r>
          </w:p>
        </w:tc>
        <w:tc>
          <w:tcPr>
            <w:tcW w:w="856" w:type="dxa"/>
            <w:tcBorders>
              <w:top w:val="nil"/>
              <w:left w:val="nil"/>
              <w:bottom w:val="nil"/>
              <w:right w:val="nil"/>
            </w:tcBorders>
            <w:noWrap/>
            <w:vAlign w:val="bottom"/>
            <w:hideMark/>
          </w:tcPr>
          <w:p w14:paraId="5B7ACB2F" w14:textId="77777777" w:rsidR="00AC66BA" w:rsidRPr="00AC66BA" w:rsidRDefault="00AC66BA"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hideMark/>
          </w:tcPr>
          <w:p w14:paraId="10D1AD82" w14:textId="719EEBBC" w:rsidR="00AC66BA" w:rsidRPr="00AC66BA" w:rsidRDefault="00A420D2" w:rsidP="00AC66BA">
            <w:pPr>
              <w:spacing w:after="0" w:line="240" w:lineRule="auto"/>
              <w:jc w:val="right"/>
              <w:rPr>
                <w:rFonts w:ascii="Calibri" w:eastAsia="Times New Roman" w:hAnsi="Calibri" w:cs="Calibri"/>
                <w:color w:val="000000"/>
                <w:kern w:val="0"/>
                <w:sz w:val="18"/>
                <w:szCs w:val="18"/>
                <w:lang w:eastAsia="sv-SE"/>
                <w14:ligatures w14:val="none"/>
              </w:rPr>
            </w:pPr>
            <w:r>
              <w:rPr>
                <w:rFonts w:ascii="Calibri" w:eastAsia="Times New Roman" w:hAnsi="Calibri" w:cs="Calibri"/>
                <w:color w:val="000000"/>
                <w:kern w:val="0"/>
                <w:sz w:val="18"/>
                <w:szCs w:val="18"/>
                <w:lang w:eastAsia="sv-SE"/>
                <w14:ligatures w14:val="none"/>
              </w:rPr>
              <w:t>3 296</w:t>
            </w:r>
          </w:p>
        </w:tc>
        <w:tc>
          <w:tcPr>
            <w:tcW w:w="856" w:type="dxa"/>
            <w:tcBorders>
              <w:top w:val="nil"/>
              <w:left w:val="nil"/>
              <w:bottom w:val="nil"/>
              <w:right w:val="nil"/>
            </w:tcBorders>
            <w:noWrap/>
            <w:vAlign w:val="bottom"/>
            <w:hideMark/>
          </w:tcPr>
          <w:p w14:paraId="56FA0920" w14:textId="4254B3E9" w:rsidR="00AC66BA" w:rsidRPr="00AC66BA" w:rsidRDefault="00643F7F" w:rsidP="00AC66BA">
            <w:pPr>
              <w:spacing w:after="0" w:line="240" w:lineRule="auto"/>
              <w:jc w:val="right"/>
              <w:rPr>
                <w:rFonts w:ascii="Calibri" w:eastAsia="Times New Roman" w:hAnsi="Calibri" w:cs="Calibri"/>
                <w:color w:val="000000"/>
                <w:kern w:val="0"/>
                <w:sz w:val="18"/>
                <w:szCs w:val="18"/>
                <w:lang w:eastAsia="sv-SE"/>
                <w14:ligatures w14:val="none"/>
              </w:rPr>
            </w:pPr>
            <w:r>
              <w:rPr>
                <w:rFonts w:ascii="Calibri" w:eastAsia="Times New Roman" w:hAnsi="Calibri" w:cs="Calibri"/>
                <w:color w:val="000000"/>
                <w:kern w:val="0"/>
                <w:sz w:val="18"/>
                <w:szCs w:val="18"/>
                <w:lang w:eastAsia="sv-SE"/>
                <w14:ligatures w14:val="none"/>
              </w:rPr>
              <w:t>4 865</w:t>
            </w:r>
          </w:p>
        </w:tc>
      </w:tr>
      <w:tr w:rsidR="00CA5E2D" w:rsidRPr="00AC66BA" w14:paraId="73D32499" w14:textId="77777777" w:rsidTr="00CA5E2D">
        <w:trPr>
          <w:trHeight w:val="315"/>
        </w:trPr>
        <w:tc>
          <w:tcPr>
            <w:tcW w:w="2447" w:type="dxa"/>
            <w:tcBorders>
              <w:top w:val="nil"/>
              <w:left w:val="nil"/>
              <w:bottom w:val="nil"/>
              <w:right w:val="nil"/>
            </w:tcBorders>
            <w:noWrap/>
            <w:vAlign w:val="bottom"/>
          </w:tcPr>
          <w:p w14:paraId="2A5A5920" w14:textId="68392A91" w:rsidR="00CA5E2D" w:rsidRPr="00AC66BA" w:rsidRDefault="00CA5E2D" w:rsidP="00AC66BA">
            <w:pPr>
              <w:spacing w:after="0" w:line="240" w:lineRule="auto"/>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6719F5F7" w14:textId="3E08873E"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85" w:type="dxa"/>
            <w:tcBorders>
              <w:top w:val="nil"/>
              <w:left w:val="nil"/>
              <w:bottom w:val="nil"/>
              <w:right w:val="nil"/>
            </w:tcBorders>
            <w:noWrap/>
            <w:vAlign w:val="bottom"/>
          </w:tcPr>
          <w:p w14:paraId="69FE00A9" w14:textId="742156B6"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1372" w:type="dxa"/>
            <w:tcBorders>
              <w:top w:val="nil"/>
              <w:left w:val="nil"/>
              <w:bottom w:val="nil"/>
              <w:right w:val="nil"/>
            </w:tcBorders>
            <w:noWrap/>
            <w:vAlign w:val="bottom"/>
          </w:tcPr>
          <w:p w14:paraId="506C3DDE" w14:textId="25882C89"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638E4BC2" w14:textId="77777777"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64FD30B5" w14:textId="7250EC5A"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60428AC9" w14:textId="28F8F80E"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r>
      <w:tr w:rsidR="00CA5E2D" w:rsidRPr="00AC66BA" w14:paraId="4B62B4BE" w14:textId="77777777" w:rsidTr="00CA5E2D">
        <w:trPr>
          <w:trHeight w:val="240"/>
        </w:trPr>
        <w:tc>
          <w:tcPr>
            <w:tcW w:w="2447" w:type="dxa"/>
            <w:tcBorders>
              <w:top w:val="nil"/>
              <w:left w:val="nil"/>
              <w:bottom w:val="nil"/>
              <w:right w:val="nil"/>
            </w:tcBorders>
            <w:noWrap/>
            <w:vAlign w:val="bottom"/>
          </w:tcPr>
          <w:p w14:paraId="062FEAC9" w14:textId="3397E889" w:rsidR="00CA5E2D" w:rsidRPr="00AC66BA" w:rsidRDefault="00CA5E2D" w:rsidP="00AC66BA">
            <w:pPr>
              <w:spacing w:after="0" w:line="240" w:lineRule="auto"/>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774ED564" w14:textId="7C03A9D9"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85" w:type="dxa"/>
            <w:tcBorders>
              <w:top w:val="nil"/>
              <w:left w:val="nil"/>
              <w:bottom w:val="nil"/>
              <w:right w:val="nil"/>
            </w:tcBorders>
            <w:noWrap/>
            <w:vAlign w:val="bottom"/>
          </w:tcPr>
          <w:p w14:paraId="265D5C42" w14:textId="62FF6CF4"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1372" w:type="dxa"/>
            <w:tcBorders>
              <w:top w:val="nil"/>
              <w:left w:val="nil"/>
              <w:bottom w:val="nil"/>
              <w:right w:val="nil"/>
            </w:tcBorders>
            <w:noWrap/>
            <w:vAlign w:val="bottom"/>
          </w:tcPr>
          <w:p w14:paraId="66A91E6D" w14:textId="1EDEC384"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01011C42" w14:textId="77777777"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22A5CF98" w14:textId="787AECE3"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c>
          <w:tcPr>
            <w:tcW w:w="856" w:type="dxa"/>
            <w:tcBorders>
              <w:top w:val="nil"/>
              <w:left w:val="nil"/>
              <w:bottom w:val="nil"/>
              <w:right w:val="nil"/>
            </w:tcBorders>
            <w:noWrap/>
            <w:vAlign w:val="bottom"/>
          </w:tcPr>
          <w:p w14:paraId="4E19B5DD" w14:textId="7422DCBB" w:rsidR="00CA5E2D" w:rsidRPr="00AC66BA" w:rsidRDefault="00CA5E2D" w:rsidP="00AC66BA">
            <w:pPr>
              <w:spacing w:after="0" w:line="240" w:lineRule="auto"/>
              <w:jc w:val="right"/>
              <w:rPr>
                <w:rFonts w:ascii="Calibri" w:eastAsia="Times New Roman" w:hAnsi="Calibri" w:cs="Calibri"/>
                <w:color w:val="000000"/>
                <w:kern w:val="0"/>
                <w:sz w:val="18"/>
                <w:szCs w:val="18"/>
                <w:lang w:eastAsia="sv-SE"/>
                <w14:ligatures w14:val="none"/>
              </w:rPr>
            </w:pPr>
          </w:p>
        </w:tc>
      </w:tr>
    </w:tbl>
    <w:p w14:paraId="5AF6154F" w14:textId="77777777" w:rsidR="00A91EB1" w:rsidRPr="00A91EB1" w:rsidRDefault="00A91EB1" w:rsidP="00A91EB1">
      <w:r w:rsidRPr="00A91EB1">
        <w:rPr>
          <w:b/>
          <w:bCs/>
        </w:rPr>
        <w:t>6. Bolagsstyrning</w:t>
      </w:r>
      <w:r w:rsidRPr="00A91EB1">
        <w:br/>
        <w:t xml:space="preserve">Beslut om ersättningar har fattats av ersättningsutskottet, som har träffats vid två tillfällen under året. Inga särskilda diskussioner har förts utöver de ordinarie besluten. </w:t>
      </w:r>
      <w:r w:rsidRPr="00A91EB1">
        <w:lastRenderedPageBreak/>
        <w:t>Styrelsen och ersättningsutskottet har utvärderat ersättningsstrukturen och funnit den ändamålsenlig och väl anpassad till bolagets strategi och behov.</w:t>
      </w:r>
    </w:p>
    <w:p w14:paraId="34A42F23" w14:textId="77777777" w:rsidR="005E37D7" w:rsidRDefault="00A91EB1" w:rsidP="005E37D7">
      <w:r w:rsidRPr="00A91EB1">
        <w:rPr>
          <w:b/>
          <w:bCs/>
        </w:rPr>
        <w:t>7. Aktie- och optionsprogram</w:t>
      </w:r>
      <w:r w:rsidRPr="00A91EB1">
        <w:br/>
      </w:r>
    </w:p>
    <w:p w14:paraId="42EC9FDF" w14:textId="46F15DB1" w:rsidR="005E37D7" w:rsidRPr="005E37D7" w:rsidRDefault="005E37D7" w:rsidP="005E37D7">
      <w:r w:rsidRPr="005E37D7">
        <w:t>Årsstämman den 14 maj 2025 fattade beslut om att inrätta ett treårigt teckningsoptionsprogram (TO 25/28) med möjlighet för, ledande befattningshavare och nyckelpersoner att 2028 teckna totalt 80 000 nyemitterade aktier av serie B till en lösenkurs om 398kr per aktie.</w:t>
      </w:r>
      <w:r>
        <w:t xml:space="preserve"> Dessa teckningsoptioner har ännu ej omräknats efter split och extrautdelning. Detta ska göras i samband med stämman 2026.</w:t>
      </w:r>
    </w:p>
    <w:p w14:paraId="510CD550" w14:textId="731245A4" w:rsidR="005E37D7" w:rsidRPr="00A91EB1" w:rsidRDefault="005E37D7" w:rsidP="00A91EB1">
      <w:r w:rsidRPr="005E37D7">
        <w:t>Samtliga teckningsoptioner har förvärvats av Byggmästarens anställda till en marknadsmässig premie beräknad med Black &amp; Scholes formel.</w:t>
      </w:r>
      <w:r>
        <w:t xml:space="preserve"> VD innehar inga teckningsoptioner utan köpoptioner utställda av ett antal av huvudägarna. </w:t>
      </w:r>
    </w:p>
    <w:p w14:paraId="3269A291" w14:textId="20C03283" w:rsidR="004B71BA" w:rsidRDefault="00A91EB1">
      <w:r w:rsidRPr="00A91EB1">
        <w:rPr>
          <w:b/>
          <w:bCs/>
        </w:rPr>
        <w:t>8. Efterlevnad av ersättningsriktlinjer</w:t>
      </w:r>
      <w:r w:rsidRPr="00A91EB1">
        <w:br/>
        <w:t>Bolaget har följt de fastställda ersättningsriktlinjerna utan några undantag. Inga externa rådgivare har använts för att fastställa ersättningsnivåerna, men ersättningsutskottet besitter god kunskap inom området. Ingen formell analys av ersättningsnivåernas bidrag till långsiktig värdeskapande och hållbarhet har genomförts, men frågan har diskuterats inom ersättningsutskottet och styrelsen. Bolaget har inte genomfört en marknadsjämförelse av ersättningsnivåerna, men ersättningsutskottet har bedömt att ersättningarna är konkurrenskraftiga och väl avvägda.</w:t>
      </w:r>
    </w:p>
    <w:sectPr w:rsidR="004B7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6A5"/>
    <w:multiLevelType w:val="multilevel"/>
    <w:tmpl w:val="AD60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88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98"/>
    <w:rsid w:val="00091B98"/>
    <w:rsid w:val="000E54A8"/>
    <w:rsid w:val="001566AF"/>
    <w:rsid w:val="00180F53"/>
    <w:rsid w:val="001A166A"/>
    <w:rsid w:val="001A56B1"/>
    <w:rsid w:val="001C4E76"/>
    <w:rsid w:val="0020195E"/>
    <w:rsid w:val="0023252B"/>
    <w:rsid w:val="002E2B2C"/>
    <w:rsid w:val="00353165"/>
    <w:rsid w:val="0042211A"/>
    <w:rsid w:val="004B71BA"/>
    <w:rsid w:val="00512AB0"/>
    <w:rsid w:val="00516DD6"/>
    <w:rsid w:val="00541164"/>
    <w:rsid w:val="005E04DF"/>
    <w:rsid w:val="005E37D7"/>
    <w:rsid w:val="0062578D"/>
    <w:rsid w:val="00643F7F"/>
    <w:rsid w:val="006503C0"/>
    <w:rsid w:val="006A6A44"/>
    <w:rsid w:val="006B4853"/>
    <w:rsid w:val="00722E56"/>
    <w:rsid w:val="00734220"/>
    <w:rsid w:val="007B4E05"/>
    <w:rsid w:val="007D5A0A"/>
    <w:rsid w:val="007E47BD"/>
    <w:rsid w:val="008146F1"/>
    <w:rsid w:val="008426FD"/>
    <w:rsid w:val="008740A4"/>
    <w:rsid w:val="00A002DF"/>
    <w:rsid w:val="00A420D2"/>
    <w:rsid w:val="00A91EB1"/>
    <w:rsid w:val="00AB58E7"/>
    <w:rsid w:val="00AC66BA"/>
    <w:rsid w:val="00B25FB7"/>
    <w:rsid w:val="00B80F96"/>
    <w:rsid w:val="00B94472"/>
    <w:rsid w:val="00BE6665"/>
    <w:rsid w:val="00C12871"/>
    <w:rsid w:val="00C81E01"/>
    <w:rsid w:val="00C824BF"/>
    <w:rsid w:val="00CA5E2D"/>
    <w:rsid w:val="00E15790"/>
    <w:rsid w:val="00EA5BF2"/>
    <w:rsid w:val="00F02481"/>
    <w:rsid w:val="00F67C86"/>
    <w:rsid w:val="00FA2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725"/>
  <w15:chartTrackingRefBased/>
  <w15:docId w15:val="{447ACFD1-D71B-4B24-B2F5-416DF08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9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9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91B9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91B9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91B9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91B9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91B9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91B9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91B9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1B9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91B9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91B9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91B9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91B9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91B9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91B9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91B9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91B98"/>
    <w:rPr>
      <w:rFonts w:eastAsiaTheme="majorEastAsia" w:cstheme="majorBidi"/>
      <w:color w:val="272727" w:themeColor="text1" w:themeTint="D8"/>
    </w:rPr>
  </w:style>
  <w:style w:type="paragraph" w:styleId="Rubrik">
    <w:name w:val="Title"/>
    <w:basedOn w:val="Normal"/>
    <w:next w:val="Normal"/>
    <w:link w:val="RubrikChar"/>
    <w:uiPriority w:val="10"/>
    <w:qFormat/>
    <w:rsid w:val="0009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91B9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91B9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91B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91B9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91B98"/>
    <w:rPr>
      <w:i/>
      <w:iCs/>
      <w:color w:val="404040" w:themeColor="text1" w:themeTint="BF"/>
    </w:rPr>
  </w:style>
  <w:style w:type="paragraph" w:styleId="Liststycke">
    <w:name w:val="List Paragraph"/>
    <w:basedOn w:val="Normal"/>
    <w:uiPriority w:val="34"/>
    <w:qFormat/>
    <w:rsid w:val="00091B98"/>
    <w:pPr>
      <w:ind w:left="720"/>
      <w:contextualSpacing/>
    </w:pPr>
  </w:style>
  <w:style w:type="character" w:styleId="Starkbetoning">
    <w:name w:val="Intense Emphasis"/>
    <w:basedOn w:val="Standardstycketeckensnitt"/>
    <w:uiPriority w:val="21"/>
    <w:qFormat/>
    <w:rsid w:val="00091B98"/>
    <w:rPr>
      <w:i/>
      <w:iCs/>
      <w:color w:val="0F4761" w:themeColor="accent1" w:themeShade="BF"/>
    </w:rPr>
  </w:style>
  <w:style w:type="paragraph" w:styleId="Starktcitat">
    <w:name w:val="Intense Quote"/>
    <w:basedOn w:val="Normal"/>
    <w:next w:val="Normal"/>
    <w:link w:val="StarktcitatChar"/>
    <w:uiPriority w:val="30"/>
    <w:qFormat/>
    <w:rsid w:val="0009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91B98"/>
    <w:rPr>
      <w:i/>
      <w:iCs/>
      <w:color w:val="0F4761" w:themeColor="accent1" w:themeShade="BF"/>
    </w:rPr>
  </w:style>
  <w:style w:type="character" w:styleId="Starkreferens">
    <w:name w:val="Intense Reference"/>
    <w:basedOn w:val="Standardstycketeckensnitt"/>
    <w:uiPriority w:val="32"/>
    <w:qFormat/>
    <w:rsid w:val="00091B98"/>
    <w:rPr>
      <w:b/>
      <w:bCs/>
      <w:smallCaps/>
      <w:color w:val="0F4761" w:themeColor="accent1" w:themeShade="BF"/>
      <w:spacing w:val="5"/>
    </w:rPr>
  </w:style>
  <w:style w:type="paragraph" w:styleId="Normalwebb">
    <w:name w:val="Normal (Web)"/>
    <w:basedOn w:val="Normal"/>
    <w:uiPriority w:val="99"/>
    <w:semiHidden/>
    <w:unhideWhenUsed/>
    <w:rsid w:val="005E37D7"/>
    <w:rPr>
      <w:rFonts w:ascii="Times New Roman" w:hAnsi="Times New Roman" w:cs="Times New Roman"/>
    </w:rPr>
  </w:style>
  <w:style w:type="character" w:styleId="Kommentarsreferens">
    <w:name w:val="annotation reference"/>
    <w:basedOn w:val="Standardstycketeckensnitt"/>
    <w:uiPriority w:val="99"/>
    <w:semiHidden/>
    <w:unhideWhenUsed/>
    <w:rsid w:val="00541164"/>
    <w:rPr>
      <w:sz w:val="16"/>
      <w:szCs w:val="16"/>
    </w:rPr>
  </w:style>
  <w:style w:type="paragraph" w:styleId="Kommentarer">
    <w:name w:val="annotation text"/>
    <w:basedOn w:val="Normal"/>
    <w:link w:val="KommentarerChar"/>
    <w:uiPriority w:val="99"/>
    <w:unhideWhenUsed/>
    <w:rsid w:val="00541164"/>
    <w:pPr>
      <w:spacing w:line="240" w:lineRule="auto"/>
    </w:pPr>
    <w:rPr>
      <w:sz w:val="20"/>
      <w:szCs w:val="20"/>
    </w:rPr>
  </w:style>
  <w:style w:type="character" w:customStyle="1" w:styleId="KommentarerChar">
    <w:name w:val="Kommentarer Char"/>
    <w:basedOn w:val="Standardstycketeckensnitt"/>
    <w:link w:val="Kommentarer"/>
    <w:uiPriority w:val="99"/>
    <w:rsid w:val="00541164"/>
    <w:rPr>
      <w:sz w:val="20"/>
      <w:szCs w:val="20"/>
    </w:rPr>
  </w:style>
  <w:style w:type="paragraph" w:styleId="Kommentarsmne">
    <w:name w:val="annotation subject"/>
    <w:basedOn w:val="Kommentarer"/>
    <w:next w:val="Kommentarer"/>
    <w:link w:val="KommentarsmneChar"/>
    <w:uiPriority w:val="99"/>
    <w:semiHidden/>
    <w:unhideWhenUsed/>
    <w:rsid w:val="00541164"/>
    <w:rPr>
      <w:b/>
      <w:bCs/>
    </w:rPr>
  </w:style>
  <w:style w:type="character" w:customStyle="1" w:styleId="KommentarsmneChar">
    <w:name w:val="Kommentarsämne Char"/>
    <w:basedOn w:val="KommentarerChar"/>
    <w:link w:val="Kommentarsmne"/>
    <w:uiPriority w:val="99"/>
    <w:semiHidden/>
    <w:rsid w:val="00541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870">
      <w:bodyDiv w:val="1"/>
      <w:marLeft w:val="0"/>
      <w:marRight w:val="0"/>
      <w:marTop w:val="0"/>
      <w:marBottom w:val="0"/>
      <w:divBdr>
        <w:top w:val="none" w:sz="0" w:space="0" w:color="auto"/>
        <w:left w:val="none" w:sz="0" w:space="0" w:color="auto"/>
        <w:bottom w:val="none" w:sz="0" w:space="0" w:color="auto"/>
        <w:right w:val="none" w:sz="0" w:space="0" w:color="auto"/>
      </w:divBdr>
    </w:div>
    <w:div w:id="387919100">
      <w:bodyDiv w:val="1"/>
      <w:marLeft w:val="0"/>
      <w:marRight w:val="0"/>
      <w:marTop w:val="0"/>
      <w:marBottom w:val="0"/>
      <w:divBdr>
        <w:top w:val="none" w:sz="0" w:space="0" w:color="auto"/>
        <w:left w:val="none" w:sz="0" w:space="0" w:color="auto"/>
        <w:bottom w:val="none" w:sz="0" w:space="0" w:color="auto"/>
        <w:right w:val="none" w:sz="0" w:space="0" w:color="auto"/>
      </w:divBdr>
    </w:div>
    <w:div w:id="420682887">
      <w:bodyDiv w:val="1"/>
      <w:marLeft w:val="0"/>
      <w:marRight w:val="0"/>
      <w:marTop w:val="0"/>
      <w:marBottom w:val="0"/>
      <w:divBdr>
        <w:top w:val="none" w:sz="0" w:space="0" w:color="auto"/>
        <w:left w:val="none" w:sz="0" w:space="0" w:color="auto"/>
        <w:bottom w:val="none" w:sz="0" w:space="0" w:color="auto"/>
        <w:right w:val="none" w:sz="0" w:space="0" w:color="auto"/>
      </w:divBdr>
    </w:div>
    <w:div w:id="628556318">
      <w:bodyDiv w:val="1"/>
      <w:marLeft w:val="0"/>
      <w:marRight w:val="0"/>
      <w:marTop w:val="0"/>
      <w:marBottom w:val="0"/>
      <w:divBdr>
        <w:top w:val="none" w:sz="0" w:space="0" w:color="auto"/>
        <w:left w:val="none" w:sz="0" w:space="0" w:color="auto"/>
        <w:bottom w:val="none" w:sz="0" w:space="0" w:color="auto"/>
        <w:right w:val="none" w:sz="0" w:space="0" w:color="auto"/>
      </w:divBdr>
    </w:div>
    <w:div w:id="832376502">
      <w:bodyDiv w:val="1"/>
      <w:marLeft w:val="0"/>
      <w:marRight w:val="0"/>
      <w:marTop w:val="0"/>
      <w:marBottom w:val="0"/>
      <w:divBdr>
        <w:top w:val="none" w:sz="0" w:space="0" w:color="auto"/>
        <w:left w:val="none" w:sz="0" w:space="0" w:color="auto"/>
        <w:bottom w:val="none" w:sz="0" w:space="0" w:color="auto"/>
        <w:right w:val="none" w:sz="0" w:space="0" w:color="auto"/>
      </w:divBdr>
    </w:div>
    <w:div w:id="877199441">
      <w:bodyDiv w:val="1"/>
      <w:marLeft w:val="0"/>
      <w:marRight w:val="0"/>
      <w:marTop w:val="0"/>
      <w:marBottom w:val="0"/>
      <w:divBdr>
        <w:top w:val="none" w:sz="0" w:space="0" w:color="auto"/>
        <w:left w:val="none" w:sz="0" w:space="0" w:color="auto"/>
        <w:bottom w:val="none" w:sz="0" w:space="0" w:color="auto"/>
        <w:right w:val="none" w:sz="0" w:space="0" w:color="auto"/>
      </w:divBdr>
    </w:div>
    <w:div w:id="911501031">
      <w:bodyDiv w:val="1"/>
      <w:marLeft w:val="0"/>
      <w:marRight w:val="0"/>
      <w:marTop w:val="0"/>
      <w:marBottom w:val="0"/>
      <w:divBdr>
        <w:top w:val="none" w:sz="0" w:space="0" w:color="auto"/>
        <w:left w:val="none" w:sz="0" w:space="0" w:color="auto"/>
        <w:bottom w:val="none" w:sz="0" w:space="0" w:color="auto"/>
        <w:right w:val="none" w:sz="0" w:space="0" w:color="auto"/>
      </w:divBdr>
    </w:div>
    <w:div w:id="1097825609">
      <w:bodyDiv w:val="1"/>
      <w:marLeft w:val="0"/>
      <w:marRight w:val="0"/>
      <w:marTop w:val="0"/>
      <w:marBottom w:val="0"/>
      <w:divBdr>
        <w:top w:val="none" w:sz="0" w:space="0" w:color="auto"/>
        <w:left w:val="none" w:sz="0" w:space="0" w:color="auto"/>
        <w:bottom w:val="none" w:sz="0" w:space="0" w:color="auto"/>
        <w:right w:val="none" w:sz="0" w:space="0" w:color="auto"/>
      </w:divBdr>
    </w:div>
    <w:div w:id="1335230899">
      <w:bodyDiv w:val="1"/>
      <w:marLeft w:val="0"/>
      <w:marRight w:val="0"/>
      <w:marTop w:val="0"/>
      <w:marBottom w:val="0"/>
      <w:divBdr>
        <w:top w:val="none" w:sz="0" w:space="0" w:color="auto"/>
        <w:left w:val="none" w:sz="0" w:space="0" w:color="auto"/>
        <w:bottom w:val="none" w:sz="0" w:space="0" w:color="auto"/>
        <w:right w:val="none" w:sz="0" w:space="0" w:color="auto"/>
      </w:divBdr>
    </w:div>
    <w:div w:id="1634630243">
      <w:bodyDiv w:val="1"/>
      <w:marLeft w:val="0"/>
      <w:marRight w:val="0"/>
      <w:marTop w:val="0"/>
      <w:marBottom w:val="0"/>
      <w:divBdr>
        <w:top w:val="none" w:sz="0" w:space="0" w:color="auto"/>
        <w:left w:val="none" w:sz="0" w:space="0" w:color="auto"/>
        <w:bottom w:val="none" w:sz="0" w:space="0" w:color="auto"/>
        <w:right w:val="none" w:sz="0" w:space="0" w:color="auto"/>
      </w:divBdr>
    </w:div>
    <w:div w:id="1866823064">
      <w:bodyDiv w:val="1"/>
      <w:marLeft w:val="0"/>
      <w:marRight w:val="0"/>
      <w:marTop w:val="0"/>
      <w:marBottom w:val="0"/>
      <w:divBdr>
        <w:top w:val="none" w:sz="0" w:space="0" w:color="auto"/>
        <w:left w:val="none" w:sz="0" w:space="0" w:color="auto"/>
        <w:bottom w:val="none" w:sz="0" w:space="0" w:color="auto"/>
        <w:right w:val="none" w:sz="0" w:space="0" w:color="auto"/>
      </w:divBdr>
    </w:div>
    <w:div w:id="21098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2B8B4B5320FD4D8FF85D0830B8BE34" ma:contentTypeVersion="6" ma:contentTypeDescription="Skapa ett nytt dokument." ma:contentTypeScope="" ma:versionID="d8832275ccc6ea808467172bce37646f">
  <xsd:schema xmlns:xsd="http://www.w3.org/2001/XMLSchema" xmlns:xs="http://www.w3.org/2001/XMLSchema" xmlns:p="http://schemas.microsoft.com/office/2006/metadata/properties" xmlns:ns2="509fa5bb-c78d-40c5-afd2-b9ae9c4c55c3" xmlns:ns3="c94a6308-425a-42f3-b668-46b4e1969667" targetNamespace="http://schemas.microsoft.com/office/2006/metadata/properties" ma:root="true" ma:fieldsID="adc2cccbe413da0336540750e6e13426" ns2:_="" ns3:_="">
    <xsd:import namespace="509fa5bb-c78d-40c5-afd2-b9ae9c4c55c3"/>
    <xsd:import namespace="c94a6308-425a-42f3-b668-46b4e196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a5bb-c78d-40c5-afd2-b9ae9c4c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a6308-425a-42f3-b668-46b4e196966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B773-40B0-424C-AE36-E40609B20441}"/>
</file>

<file path=customXml/itemProps2.xml><?xml version="1.0" encoding="utf-8"?>
<ds:datastoreItem xmlns:ds="http://schemas.openxmlformats.org/officeDocument/2006/customXml" ds:itemID="{A4BEAC0F-2A0F-4D10-9803-ED2BE6E1508E}">
  <ds:schemaRefs>
    <ds:schemaRef ds:uri="http://schemas.microsoft.com/office/2006/metadata/properties"/>
    <ds:schemaRef ds:uri="http://schemas.microsoft.com/office/infopath/2007/PartnerControls"/>
    <ds:schemaRef ds:uri="15d32186-283d-49ac-b094-7f5a845215cb"/>
    <ds:schemaRef ds:uri="cd39f146-8237-466f-9e52-a0d3a3987a1b"/>
  </ds:schemaRefs>
</ds:datastoreItem>
</file>

<file path=customXml/itemProps3.xml><?xml version="1.0" encoding="utf-8"?>
<ds:datastoreItem xmlns:ds="http://schemas.openxmlformats.org/officeDocument/2006/customXml" ds:itemID="{B702F8D2-6E97-4053-941F-E963BD173C4D}">
  <ds:schemaRefs>
    <ds:schemaRef ds:uri="http://schemas.microsoft.com/sharepoint/v3/contenttype/forms"/>
  </ds:schemaRefs>
</ds:datastoreItem>
</file>

<file path=customXml/itemProps4.xml><?xml version="1.0" encoding="utf-8"?>
<ds:datastoreItem xmlns:ds="http://schemas.openxmlformats.org/officeDocument/2006/customXml" ds:itemID="{50BDB857-5EAA-41EF-80F9-12223C4A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Pages>
  <Words>792</Words>
  <Characters>5249</Characters>
  <Application>Microsoft Office Word</Application>
  <DocSecurity>0</DocSecurity>
  <Lines>119</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Åkerblom</dc:creator>
  <cp:keywords/>
  <dc:description/>
  <cp:lastModifiedBy>Frida Åkerblom</cp:lastModifiedBy>
  <cp:revision>3</cp:revision>
  <dcterms:created xsi:type="dcterms:W3CDTF">2026-03-25T09:32:00Z</dcterms:created>
  <dcterms:modified xsi:type="dcterms:W3CDTF">2026-03-25T22:33:00Z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0x010100732B8B4B5320FD4D8FF85D0830B8BE34</vt:lpwstr>
  </property>
  <property fmtid="{D5CDD505-2E9C-101B-9397-08002B2CF9AE}" pid="3" name="MSIP_Label_2e1840fb-8939-4796-95d0-bc833736564d_Enabled">
    <vt:lpwstr>true</vt:lpwstr>
  </property>
  <property fmtid="{D5CDD505-2E9C-101B-9397-08002B2CF9AE}" pid="4" name="MSIP_Label_2e1840fb-8939-4796-95d0-bc833736564d_SetDate">
    <vt:lpwstr>2026-03-16T08:41:11Z</vt:lpwstr>
  </property>
  <property fmtid="{D5CDD505-2E9C-101B-9397-08002B2CF9AE}" pid="5" name="MSIP_Label_2e1840fb-8939-4796-95d0-bc833736564d_Method">
    <vt:lpwstr>Standard</vt:lpwstr>
  </property>
  <property fmtid="{D5CDD505-2E9C-101B-9397-08002B2CF9AE}" pid="6" name="MSIP_Label_2e1840fb-8939-4796-95d0-bc833736564d_Name">
    <vt:lpwstr>Confidential - Open Access</vt:lpwstr>
  </property>
  <property fmtid="{D5CDD505-2E9C-101B-9397-08002B2CF9AE}" pid="7" name="MSIP_Label_2e1840fb-8939-4796-95d0-bc833736564d_SiteId">
    <vt:lpwstr>513294a0-3e20-41b2-a970-6d30bf1546fa</vt:lpwstr>
  </property>
  <property fmtid="{D5CDD505-2E9C-101B-9397-08002B2CF9AE}" pid="8" name="MSIP_Label_2e1840fb-8939-4796-95d0-bc833736564d_ActionId">
    <vt:lpwstr>04431657-3877-45d2-96f3-712ca76a0be2</vt:lpwstr>
  </property>
  <property fmtid="{D5CDD505-2E9C-101B-9397-08002B2CF9AE}" pid="9" name="MSIP_Label_2e1840fb-8939-4796-95d0-bc833736564d_ContentBits">
    <vt:lpwstr>0</vt:lpwstr>
  </property>
  <property fmtid="{D5CDD505-2E9C-101B-9397-08002B2CF9AE}" pid="10" name="MSIP_Label_2e1840fb-8939-4796-95d0-bc833736564d_Tag">
    <vt:lpwstr>10, 3, 0, 1</vt:lpwstr>
  </property>
  <property fmtid="{D5CDD505-2E9C-101B-9397-08002B2CF9AE}" pid="11" name="MediaServiceImageTags">
    <vt:lpwstr/>
  </property>
  <property fmtid="{D5CDD505-2E9C-101B-9397-08002B2CF9AE}" pid="12" name="docLang">
    <vt:lpwstr>sv</vt:lpwstr>
  </property>
</Properties>
</file>