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C55C" w14:textId="71558316" w:rsidR="00273319" w:rsidRPr="00F057FD" w:rsidRDefault="00F057FD" w:rsidP="00273319">
      <w:pPr>
        <w:rPr>
          <w:rFonts w:ascii="Times New Roman" w:hAnsi="Times New Roman" w:cs="Times New Roman"/>
          <w:b/>
          <w:bCs/>
          <w:sz w:val="28"/>
          <w:szCs w:val="28"/>
        </w:rPr>
      </w:pPr>
      <w:r w:rsidRPr="00F057FD">
        <w:rPr>
          <w:rFonts w:ascii="Times New Roman" w:hAnsi="Times New Roman" w:cs="Times New Roman"/>
          <w:b/>
          <w:bCs/>
          <w:sz w:val="28"/>
          <w:szCs w:val="28"/>
        </w:rPr>
        <w:t xml:space="preserve">STYRELSENS FÖR BYGGMÄSTARE ANDERS J AHLSTRÖM HOLDING AB (PUBL) FÖRSLAG TILL RIKTLINJER FÖR ERSÄTTNING TILL LEDANDE BEFATTNINGSHAVARE </w:t>
      </w:r>
    </w:p>
    <w:p w14:paraId="12D8A880" w14:textId="3EE5734E" w:rsidR="00273319" w:rsidRPr="00AD0C9B" w:rsidRDefault="008856C6" w:rsidP="00273319">
      <w:pPr>
        <w:rPr>
          <w:rFonts w:ascii="Times New Roman" w:eastAsia="Times New Roman" w:hAnsi="Times New Roman" w:cs="Times New Roman"/>
          <w:lang w:eastAsia="sv-SE"/>
        </w:rPr>
      </w:pPr>
      <w:r w:rsidRPr="00AD0C9B">
        <w:rPr>
          <w:rFonts w:ascii="Times New Roman" w:eastAsia="Times New Roman" w:hAnsi="Times New Roman" w:cs="Times New Roman"/>
          <w:lang w:eastAsia="sv-SE"/>
        </w:rPr>
        <w:t>Styrelsen</w:t>
      </w:r>
      <w:r w:rsidR="001629F6">
        <w:rPr>
          <w:rFonts w:ascii="Times New Roman" w:eastAsia="Times New Roman" w:hAnsi="Times New Roman" w:cs="Times New Roman"/>
          <w:lang w:eastAsia="sv-SE"/>
        </w:rPr>
        <w:t xml:space="preserve"> </w:t>
      </w:r>
      <w:r w:rsidRPr="00AD0C9B">
        <w:rPr>
          <w:rFonts w:ascii="Times New Roman" w:eastAsia="Times New Roman" w:hAnsi="Times New Roman" w:cs="Times New Roman"/>
          <w:lang w:eastAsia="sv-SE"/>
        </w:rPr>
        <w:t>föreslår</w:t>
      </w:r>
      <w:r w:rsidR="001629F6">
        <w:rPr>
          <w:rFonts w:ascii="Times New Roman" w:eastAsia="Times New Roman" w:hAnsi="Times New Roman" w:cs="Times New Roman"/>
          <w:lang w:eastAsia="sv-SE"/>
        </w:rPr>
        <w:t>, på inrådan av ersättningsutskottet,</w:t>
      </w:r>
      <w:r w:rsidRPr="00AD0C9B">
        <w:rPr>
          <w:rFonts w:ascii="Times New Roman" w:eastAsia="Times New Roman" w:hAnsi="Times New Roman" w:cs="Times New Roman"/>
          <w:lang w:eastAsia="sv-SE"/>
        </w:rPr>
        <w:t xml:space="preserve"> att årsstämman beslutar om riktlinjer för ersättning till den verkställande direktören och ledningsgruppen, samt eventuella konsultarvoden till styrelseledamöter, enligt följande. Riktlinjerna ska tillämpas på ersättningar som avtalas, och förändringar som görs i redan avtalade ersättningar, efter det att riktlinjerna antagits av årsstämman 2024. Riktlinjerna omfattar inte ersättningar som beslutas av bolagsstämman</w:t>
      </w:r>
      <w:r w:rsidR="00273319" w:rsidRPr="00AD0C9B">
        <w:rPr>
          <w:rFonts w:ascii="Times New Roman" w:hAnsi="Times New Roman" w:cs="Times New Roman"/>
        </w:rPr>
        <w:t xml:space="preserve">. </w:t>
      </w:r>
    </w:p>
    <w:p w14:paraId="4A1D044F" w14:textId="77777777" w:rsidR="00273319" w:rsidRPr="00AD0C9B" w:rsidRDefault="00273319" w:rsidP="00273319">
      <w:pPr>
        <w:rPr>
          <w:rFonts w:ascii="Times New Roman" w:hAnsi="Times New Roman" w:cs="Times New Roman"/>
          <w:i/>
          <w:iCs/>
        </w:rPr>
      </w:pPr>
      <w:r w:rsidRPr="00AD0C9B">
        <w:rPr>
          <w:rFonts w:ascii="Times New Roman" w:hAnsi="Times New Roman" w:cs="Times New Roman"/>
          <w:i/>
          <w:iCs/>
        </w:rPr>
        <w:t xml:space="preserve">Riktlinjernas främjande av Bolagets affärsstrategi, långsiktiga intressen och hållbarhet </w:t>
      </w:r>
    </w:p>
    <w:p w14:paraId="563B3266" w14:textId="77777777"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En framgångsrik implementering av Bolagets affärsstrategi och tillvaratagandet av Bolagets långsiktiga intressen, förutsätter att Bolaget kan rekrytera och behålla kvalificerade medarbetare. För detta krävs att Bolaget kan erbjuda konkurrenskraftig ersättning. Dessa riktlinjer möjliggör att ledande befattningshavare kan erbjudas en konkurrenskraftig totalersättning. </w:t>
      </w:r>
    </w:p>
    <w:p w14:paraId="5A16A4FF" w14:textId="767BDF98"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I Bolaget har ett långsiktigt teckningsoptionsprogram för ledande befattningshavare inrättats. </w:t>
      </w:r>
      <w:r w:rsidR="00921E15" w:rsidRPr="00AD0C9B">
        <w:rPr>
          <w:rFonts w:ascii="Times New Roman" w:hAnsi="Times New Roman" w:cs="Times New Roman"/>
        </w:rPr>
        <w:t>Detta</w:t>
      </w:r>
      <w:r w:rsidRPr="00AD0C9B">
        <w:rPr>
          <w:rFonts w:ascii="Times New Roman" w:hAnsi="Times New Roman" w:cs="Times New Roman"/>
        </w:rPr>
        <w:t xml:space="preserve"> har beslutats av bolagsstämman och omfattas därför inte av dessa riktlinjer. För mer information om optionsprogram se protokoll från </w:t>
      </w:r>
      <w:r w:rsidR="00921E15" w:rsidRPr="00AD0C9B">
        <w:rPr>
          <w:rFonts w:ascii="Times New Roman" w:hAnsi="Times New Roman" w:cs="Times New Roman"/>
        </w:rPr>
        <w:t>årsstämman 2023</w:t>
      </w:r>
      <w:r w:rsidRPr="00AD0C9B">
        <w:rPr>
          <w:rFonts w:ascii="Times New Roman" w:hAnsi="Times New Roman" w:cs="Times New Roman"/>
        </w:rPr>
        <w:t xml:space="preserve">. </w:t>
      </w:r>
    </w:p>
    <w:p w14:paraId="62CC4CA0" w14:textId="014E3304" w:rsidR="00273319" w:rsidRPr="00AD0C9B" w:rsidRDefault="00273319" w:rsidP="00273319">
      <w:pPr>
        <w:rPr>
          <w:rFonts w:ascii="Times New Roman" w:hAnsi="Times New Roman" w:cs="Times New Roman"/>
        </w:rPr>
      </w:pPr>
      <w:r w:rsidRPr="00AD0C9B">
        <w:rPr>
          <w:rFonts w:ascii="Times New Roman" w:hAnsi="Times New Roman" w:cs="Times New Roman"/>
        </w:rPr>
        <w:t>Rörlig kontantersättning som omfattas av dessa riktlinjer ska syfta till att främja Bolagets affärsstrategi och långsiktiga intressen.</w:t>
      </w:r>
    </w:p>
    <w:p w14:paraId="52A47A74" w14:textId="77777777" w:rsidR="00273319" w:rsidRPr="00AD0C9B" w:rsidRDefault="00273319" w:rsidP="00273319">
      <w:pPr>
        <w:rPr>
          <w:rFonts w:ascii="Times New Roman" w:hAnsi="Times New Roman" w:cs="Times New Roman"/>
          <w:i/>
          <w:iCs/>
        </w:rPr>
      </w:pPr>
      <w:r w:rsidRPr="00AD0C9B">
        <w:rPr>
          <w:rFonts w:ascii="Times New Roman" w:hAnsi="Times New Roman" w:cs="Times New Roman"/>
          <w:i/>
          <w:iCs/>
        </w:rPr>
        <w:t xml:space="preserve">Former av ersättning </w:t>
      </w:r>
    </w:p>
    <w:p w14:paraId="0AFA964D" w14:textId="77777777"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Ersättningen ska vara marknadsmässig och får bestå av följande komponenter: fast kontantlön, rörlig kontantersättning, pensionsförmåner och andra förmåner. Bolagsstämman kan därutöver – och oberoende av dessa riktlinjer – besluta om exempelvis aktie- och aktiekursrelaterade ersättningar. </w:t>
      </w:r>
    </w:p>
    <w:p w14:paraId="152D3FD1" w14:textId="1A0BA601"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Uppfyllelse av kriterier för utbetalning av rörlig kontantersättning ska kunna mätas under en period om ett år. Den rörliga kontantersättningen får för ledande befattningshavare som ingår i ledningsgruppen uppgå till högst </w:t>
      </w:r>
      <w:r w:rsidR="006970A3" w:rsidRPr="00AD0C9B">
        <w:rPr>
          <w:rFonts w:ascii="Times New Roman" w:hAnsi="Times New Roman" w:cs="Times New Roman"/>
        </w:rPr>
        <w:t xml:space="preserve">50 </w:t>
      </w:r>
      <w:r w:rsidRPr="00AD0C9B">
        <w:rPr>
          <w:rFonts w:ascii="Times New Roman" w:hAnsi="Times New Roman" w:cs="Times New Roman"/>
        </w:rPr>
        <w:t xml:space="preserve">procent av den fasta årliga kontantlönen och för VD högst </w:t>
      </w:r>
      <w:r w:rsidR="006970A3" w:rsidRPr="00AD0C9B">
        <w:rPr>
          <w:rFonts w:ascii="Times New Roman" w:hAnsi="Times New Roman" w:cs="Times New Roman"/>
        </w:rPr>
        <w:t xml:space="preserve">100 </w:t>
      </w:r>
      <w:r w:rsidRPr="00AD0C9B">
        <w:rPr>
          <w:rFonts w:ascii="Times New Roman" w:hAnsi="Times New Roman" w:cs="Times New Roman"/>
        </w:rPr>
        <w:t xml:space="preserve">procent av den årliga fasta kontantlönen. Ytterligare kontant rörlig ersättning kan utgå vid extraordinära omständigheter, förutsatt att sådana extraordinära arrangemang är tidsbegränsade och endast görs på individnivå antingen i syfte att rekrytera eller behålla befattningshavare, eller som ersättning för extraordinära arbetsinsatser utöver personens ordinarie arbetsuppgifter. Sådan extra ersättning får inte överstiga ett belopp motsvarande 50 procent av den fasta årliga kontantlönen samt ej utges mer än en gång per år och per individ. Beslut om sådan ersättning ska fattas av styrelsen på förslag av ersättningsutskottet. </w:t>
      </w:r>
    </w:p>
    <w:p w14:paraId="03F5E003" w14:textId="77777777"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För verkställande direktören ska pensionsförmåner, innefattande sjukförsäkring, vara premiebestämda. Rörlig kontantersättning ska inte vara pensionsgrundande. Pensionspremierna för premiebestämd pension ska uppgå till högst 25 procent av den fasta kontantlönen. </w:t>
      </w:r>
    </w:p>
    <w:p w14:paraId="2786BCFE" w14:textId="37518386"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Andra förmåner får innefatta bl.a. livförsäkring och sjukvårdsförsäkring. Premier och andra kostnader i anledning av sådana förmåner får sammanlagt uppgå till högst 15 procent av den fasta kontantlönen. </w:t>
      </w:r>
    </w:p>
    <w:p w14:paraId="770D26E6" w14:textId="77777777" w:rsidR="00273319" w:rsidRPr="00AD0C9B" w:rsidRDefault="00273319" w:rsidP="00273319">
      <w:pPr>
        <w:rPr>
          <w:rFonts w:ascii="Times New Roman" w:hAnsi="Times New Roman" w:cs="Times New Roman"/>
          <w:i/>
          <w:iCs/>
        </w:rPr>
      </w:pPr>
      <w:r w:rsidRPr="00AD0C9B">
        <w:rPr>
          <w:rFonts w:ascii="Times New Roman" w:hAnsi="Times New Roman" w:cs="Times New Roman"/>
          <w:i/>
          <w:iCs/>
        </w:rPr>
        <w:t xml:space="preserve">Upphörande av anställning </w:t>
      </w:r>
    </w:p>
    <w:p w14:paraId="4E9A4276" w14:textId="4D2F7692"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Vid uppsägning från Bolagets sida får uppsägningstiden vara högst tolv månader. Fast kontantlön under uppsägningstiden och avgångsvederlag får sammantaget inte överstiga ett belopp motsvarande den fasta kontantlönen för två år för verkställande direktören och ett år för övriga ledande befattningshavare. Vid uppsägning från befattningshavarens sida får uppsägningstiden vara högst tolv månader, utan rätt till avgångsvederlag. </w:t>
      </w:r>
    </w:p>
    <w:p w14:paraId="541C38E0" w14:textId="45B11001" w:rsidR="00273319" w:rsidRPr="00AD0C9B" w:rsidRDefault="00273319" w:rsidP="00273319">
      <w:pPr>
        <w:rPr>
          <w:rFonts w:ascii="Times New Roman" w:hAnsi="Times New Roman" w:cs="Times New Roman"/>
        </w:rPr>
      </w:pPr>
      <w:r w:rsidRPr="00AD0C9B">
        <w:rPr>
          <w:rFonts w:ascii="Times New Roman" w:hAnsi="Times New Roman" w:cs="Times New Roman"/>
        </w:rPr>
        <w:lastRenderedPageBreak/>
        <w:t xml:space="preserve">Därutöver kan ersättning för eventuellt åtagande om konkurrensbegränsning utgå. Sådan ersättning ska kompensera för eventuellt inkomstbortfall och ska endast utgå i den utsträckning som den tidigare befattningshavaren saknar rätt till avgångsvederlag. Ersättningen ska baseras på den fasta kontantlönen vid tidpunkten för uppsägningen och uppgå till högst 60 procent av den fasta kontantlönen vid tidpunkten för uppsägningen, om inte annat följer av tvingande kollektivavtalsbestämmelser och utgå under den tid som åtagandet om konkurrensbegränsning gäller, vilket ska vara högst 12 månader efter anställningens upphörande. </w:t>
      </w:r>
    </w:p>
    <w:p w14:paraId="59BEC95B" w14:textId="77777777" w:rsidR="00273319" w:rsidRPr="00AD0C9B" w:rsidRDefault="00273319" w:rsidP="00273319">
      <w:pPr>
        <w:rPr>
          <w:rFonts w:ascii="Times New Roman" w:hAnsi="Times New Roman" w:cs="Times New Roman"/>
          <w:i/>
          <w:iCs/>
        </w:rPr>
      </w:pPr>
      <w:r w:rsidRPr="00AD0C9B">
        <w:rPr>
          <w:rFonts w:ascii="Times New Roman" w:hAnsi="Times New Roman" w:cs="Times New Roman"/>
          <w:i/>
          <w:iCs/>
        </w:rPr>
        <w:t xml:space="preserve">Kriterier för utdelning av rörlig kontantersättning </w:t>
      </w:r>
    </w:p>
    <w:p w14:paraId="073F9C0D" w14:textId="77777777"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Den rörliga kontantersättningen ska vara kopplad till förutbestämda och mätbara kriterier som kan vara finansiella eller icke-finansiella. De kan också utgöras av individanpassade kvantitativa eller kvalitativa mål. Kriterierna ska vara utformade så att de främjar Bolagets affärsstrategi och långsiktiga intressen. </w:t>
      </w:r>
    </w:p>
    <w:p w14:paraId="2E525918" w14:textId="77777777"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När mätperioden för uppfyllelse av kriterier för utbetalning av rörlig kontantersättning avslutats ska bedömas/fastställas i vilken utsträckning kriterierna uppfyllts. Ersättningsutskottet ansvarar för bedömningen såvitt avser rörlig kontantersättning till verkställande direktören. Såvitt avser rörlig kontantersättning till övriga befattningshavare beslutar ersättningsutskottet på förslag av verkställande direktören. </w:t>
      </w:r>
    </w:p>
    <w:p w14:paraId="2830B44E" w14:textId="77777777" w:rsidR="00273319" w:rsidRPr="00AD0C9B" w:rsidRDefault="00273319" w:rsidP="00273319">
      <w:pPr>
        <w:rPr>
          <w:rFonts w:ascii="Times New Roman" w:hAnsi="Times New Roman" w:cs="Times New Roman"/>
          <w:i/>
          <w:iCs/>
        </w:rPr>
      </w:pPr>
      <w:r w:rsidRPr="00AD0C9B">
        <w:rPr>
          <w:rFonts w:ascii="Times New Roman" w:hAnsi="Times New Roman" w:cs="Times New Roman"/>
          <w:i/>
          <w:iCs/>
        </w:rPr>
        <w:t xml:space="preserve">Lön och anställningsvillkor för ledande befattningshavare </w:t>
      </w:r>
    </w:p>
    <w:p w14:paraId="61768140" w14:textId="093DC81A"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Vid beredningen av styrelsens förslag till dessa ersättningsriktlinjer har lön och anställningsvillkor för Bolagets ledande befattningshavare beaktats genom att uppgifter om dessas totalersättning, ersättningens komponenter samt ersättningens ökning och ökningstakt över tid har utgjort en del av ersättningsutskottets och styrelsens beslutsunderlag vid utvärderingen av skäligheten av riktlinjerna och de begränsningar som följer av dessa. </w:t>
      </w:r>
    </w:p>
    <w:p w14:paraId="1A495549" w14:textId="77777777" w:rsidR="00273319" w:rsidRPr="00AD0C9B" w:rsidRDefault="00273319" w:rsidP="00273319">
      <w:pPr>
        <w:rPr>
          <w:rFonts w:ascii="Times New Roman" w:hAnsi="Times New Roman" w:cs="Times New Roman"/>
          <w:i/>
          <w:iCs/>
        </w:rPr>
      </w:pPr>
      <w:r w:rsidRPr="00AD0C9B">
        <w:rPr>
          <w:rFonts w:ascii="Times New Roman" w:hAnsi="Times New Roman" w:cs="Times New Roman"/>
          <w:i/>
          <w:iCs/>
        </w:rPr>
        <w:t xml:space="preserve">Beslutsprocessen för att fastställa, se över och genomföra riktlinjerna </w:t>
      </w:r>
    </w:p>
    <w:p w14:paraId="0A598D9E" w14:textId="77777777"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I ersättningsutskottets uppgifter ingår att bereda styrelsens beslut om förslag till riktlinjer för ersättning till ledande befattningshavare. Styrelsen ska upprätta förslag till nya riktlinjer åtminstone vart fjärde år och lägga fram förslaget för beslut vid årsstämman. </w:t>
      </w:r>
    </w:p>
    <w:p w14:paraId="4C30CD84" w14:textId="34BFD7D9" w:rsidR="00273319" w:rsidRPr="00AD0C9B" w:rsidRDefault="00273319" w:rsidP="00273319">
      <w:pPr>
        <w:rPr>
          <w:rFonts w:ascii="Times New Roman" w:hAnsi="Times New Roman" w:cs="Times New Roman"/>
        </w:rPr>
      </w:pPr>
      <w:r w:rsidRPr="00AD0C9B">
        <w:rPr>
          <w:rFonts w:ascii="Times New Roman" w:hAnsi="Times New Roman" w:cs="Times New Roman"/>
        </w:rPr>
        <w:t xml:space="preserve">Riktlinjerna ska gälla till dess att nya riktlinjer antagits av bolagsstämman. Ersättningsutskottet ska även följa och utvärdera program för rörliga ersättningar för bolagsledningen, tillämpningen av riktlinjer för ersättning till ledande befattningshavare samt gällande ersättningsstrukturer och ersättningsnivåer i Bolaget. Ersättningsutskottets ledamöter är oberoende i förhållande till Bolaget och bolagsledningen. Vid styrelsens behandling av och beslut i ersättningsrelaterade frågor närvarar inte verkställande direktören eller andra personer i bolagsledningen, i den mån de berörs av frågorna. </w:t>
      </w:r>
    </w:p>
    <w:p w14:paraId="198D3B52" w14:textId="77777777" w:rsidR="00273319" w:rsidRPr="00AD0C9B" w:rsidRDefault="00273319" w:rsidP="00273319">
      <w:pPr>
        <w:rPr>
          <w:rFonts w:ascii="Times New Roman" w:hAnsi="Times New Roman" w:cs="Times New Roman"/>
          <w:i/>
          <w:iCs/>
        </w:rPr>
      </w:pPr>
      <w:r w:rsidRPr="00AD0C9B">
        <w:rPr>
          <w:rFonts w:ascii="Times New Roman" w:hAnsi="Times New Roman" w:cs="Times New Roman"/>
          <w:i/>
          <w:iCs/>
        </w:rPr>
        <w:t xml:space="preserve">Frångående av riktlinjerna </w:t>
      </w:r>
    </w:p>
    <w:p w14:paraId="12A727E2" w14:textId="3F25C91D" w:rsidR="003641F5" w:rsidRPr="00AD0C9B" w:rsidRDefault="00273319" w:rsidP="00273319">
      <w:pPr>
        <w:rPr>
          <w:rFonts w:ascii="Times New Roman" w:hAnsi="Times New Roman" w:cs="Times New Roman"/>
        </w:rPr>
      </w:pPr>
      <w:r w:rsidRPr="00AD0C9B">
        <w:rPr>
          <w:rFonts w:ascii="Times New Roman" w:hAnsi="Times New Roman" w:cs="Times New Roman"/>
        </w:rPr>
        <w:t>Styrelsen får besluta att tillfälligt frångå riktlinjerna helt eller delvis, om det i ett enskilt fall finns särskilda skäl för det och ett avsteg är nödvändigt för att tillgodose Bolagets långsiktiga intressen, inklusive dess hållbarhet, eller för att säkerställa Bolagets ekonomiska bärkraft. Som angivits ovan ingår det i ersättningsutskottets uppgifter att bereda styrelsens beslut i ersättningsfrågor, vilket innefattar beslut om avsteg från riktlinjerna.</w:t>
      </w:r>
    </w:p>
    <w:p w14:paraId="0B5CE2C7" w14:textId="18BFBCC1" w:rsidR="003641F5" w:rsidRPr="00AD0C9B" w:rsidRDefault="003641F5" w:rsidP="003641F5">
      <w:pPr>
        <w:jc w:val="center"/>
        <w:rPr>
          <w:rFonts w:ascii="Times New Roman" w:hAnsi="Times New Roman" w:cs="Times New Roman"/>
        </w:rPr>
      </w:pPr>
      <w:bookmarkStart w:id="0" w:name="_Hlk164258670"/>
      <w:r w:rsidRPr="00AD0C9B">
        <w:rPr>
          <w:rFonts w:ascii="Times New Roman" w:hAnsi="Times New Roman" w:cs="Times New Roman"/>
        </w:rPr>
        <w:t xml:space="preserve">*** </w:t>
      </w:r>
    </w:p>
    <w:p w14:paraId="1326BC4B" w14:textId="02939F38" w:rsidR="003641F5" w:rsidRPr="00E1299A" w:rsidRDefault="003641F5" w:rsidP="00E1299A">
      <w:pPr>
        <w:jc w:val="center"/>
        <w:rPr>
          <w:rFonts w:ascii="Times New Roman" w:hAnsi="Times New Roman" w:cs="Times New Roman"/>
        </w:rPr>
      </w:pPr>
      <w:r w:rsidRPr="00AD0C9B">
        <w:rPr>
          <w:rFonts w:ascii="Times New Roman" w:hAnsi="Times New Roman" w:cs="Times New Roman"/>
        </w:rPr>
        <w:t>Stockholm i april 2024</w:t>
      </w:r>
      <w:r w:rsidR="00E1299A">
        <w:rPr>
          <w:rFonts w:ascii="Times New Roman" w:hAnsi="Times New Roman" w:cs="Times New Roman"/>
        </w:rPr>
        <w:br/>
      </w:r>
      <w:r w:rsidRPr="00AD0C9B">
        <w:rPr>
          <w:rFonts w:ascii="Times New Roman" w:hAnsi="Times New Roman" w:cs="Times New Roman"/>
        </w:rPr>
        <w:t>Byggmästare Anders J Ahlström Holding AB (publ)</w:t>
      </w:r>
      <w:r w:rsidR="00E1299A">
        <w:rPr>
          <w:rFonts w:ascii="Times New Roman" w:hAnsi="Times New Roman" w:cs="Times New Roman"/>
        </w:rPr>
        <w:br/>
      </w:r>
      <w:r w:rsidRPr="00AD0C9B">
        <w:rPr>
          <w:rFonts w:ascii="Times New Roman" w:hAnsi="Times New Roman" w:cs="Times New Roman"/>
          <w:i/>
          <w:iCs/>
        </w:rPr>
        <w:t>Styrelsen</w:t>
      </w:r>
      <w:bookmarkEnd w:id="0"/>
    </w:p>
    <w:sectPr w:rsidR="003641F5" w:rsidRPr="00E1299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13B2" w14:textId="77777777" w:rsidR="00837A9B" w:rsidRDefault="00837A9B" w:rsidP="00837A9B">
      <w:pPr>
        <w:spacing w:after="0" w:line="240" w:lineRule="auto"/>
      </w:pPr>
      <w:r>
        <w:separator/>
      </w:r>
    </w:p>
  </w:endnote>
  <w:endnote w:type="continuationSeparator" w:id="0">
    <w:p w14:paraId="2270C002" w14:textId="77777777" w:rsidR="00837A9B" w:rsidRDefault="00837A9B" w:rsidP="0083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C977" w14:textId="77777777" w:rsidR="00837A9B" w:rsidRDefault="00837A9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649" w14:textId="77777777" w:rsidR="00837A9B" w:rsidRDefault="00837A9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7A14" w14:textId="77777777" w:rsidR="00837A9B" w:rsidRDefault="00837A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3A47" w14:textId="77777777" w:rsidR="00837A9B" w:rsidRDefault="00837A9B" w:rsidP="00837A9B">
      <w:pPr>
        <w:spacing w:after="0" w:line="240" w:lineRule="auto"/>
      </w:pPr>
      <w:r>
        <w:separator/>
      </w:r>
    </w:p>
  </w:footnote>
  <w:footnote w:type="continuationSeparator" w:id="0">
    <w:p w14:paraId="2593E44F" w14:textId="77777777" w:rsidR="00837A9B" w:rsidRDefault="00837A9B" w:rsidP="00837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1A3C" w14:textId="77777777" w:rsidR="00837A9B" w:rsidRDefault="00837A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4044" w14:textId="77777777" w:rsidR="00837A9B" w:rsidRDefault="00837A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6EA1" w14:textId="77777777" w:rsidR="00837A9B" w:rsidRDefault="00837A9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19"/>
    <w:rsid w:val="000B73FD"/>
    <w:rsid w:val="001365AD"/>
    <w:rsid w:val="001629F6"/>
    <w:rsid w:val="002063F6"/>
    <w:rsid w:val="00222385"/>
    <w:rsid w:val="00273319"/>
    <w:rsid w:val="0027378D"/>
    <w:rsid w:val="003641F5"/>
    <w:rsid w:val="00436C17"/>
    <w:rsid w:val="004C5E3D"/>
    <w:rsid w:val="006970A3"/>
    <w:rsid w:val="00795684"/>
    <w:rsid w:val="00837A9B"/>
    <w:rsid w:val="008856C6"/>
    <w:rsid w:val="00921E15"/>
    <w:rsid w:val="00AD0C9B"/>
    <w:rsid w:val="00B21F90"/>
    <w:rsid w:val="00CE1857"/>
    <w:rsid w:val="00E1299A"/>
    <w:rsid w:val="00EB001E"/>
    <w:rsid w:val="00EF0159"/>
    <w:rsid w:val="00F057FD"/>
    <w:rsid w:val="00F818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D5B6"/>
  <w15:chartTrackingRefBased/>
  <w15:docId w15:val="{3E8F2E70-8FB3-4FF5-9ACC-991DAA03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733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2733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273319"/>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273319"/>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273319"/>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27331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7331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7331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7331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3319"/>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273319"/>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273319"/>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273319"/>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273319"/>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27331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7331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7331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73319"/>
    <w:rPr>
      <w:rFonts w:eastAsiaTheme="majorEastAsia" w:cstheme="majorBidi"/>
      <w:color w:val="272727" w:themeColor="text1" w:themeTint="D8"/>
    </w:rPr>
  </w:style>
  <w:style w:type="paragraph" w:styleId="Rubrik">
    <w:name w:val="Title"/>
    <w:basedOn w:val="Normal"/>
    <w:next w:val="Normal"/>
    <w:link w:val="RubrikChar"/>
    <w:uiPriority w:val="10"/>
    <w:qFormat/>
    <w:rsid w:val="00273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7331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7331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7331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7331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73319"/>
    <w:rPr>
      <w:i/>
      <w:iCs/>
      <w:color w:val="404040" w:themeColor="text1" w:themeTint="BF"/>
    </w:rPr>
  </w:style>
  <w:style w:type="paragraph" w:styleId="Liststycke">
    <w:name w:val="List Paragraph"/>
    <w:basedOn w:val="Normal"/>
    <w:uiPriority w:val="34"/>
    <w:qFormat/>
    <w:rsid w:val="00273319"/>
    <w:pPr>
      <w:ind w:left="720"/>
      <w:contextualSpacing/>
    </w:pPr>
  </w:style>
  <w:style w:type="character" w:styleId="Starkbetoning">
    <w:name w:val="Intense Emphasis"/>
    <w:basedOn w:val="Standardstycketeckensnitt"/>
    <w:uiPriority w:val="21"/>
    <w:qFormat/>
    <w:rsid w:val="00273319"/>
    <w:rPr>
      <w:i/>
      <w:iCs/>
      <w:color w:val="2F5496" w:themeColor="accent1" w:themeShade="BF"/>
    </w:rPr>
  </w:style>
  <w:style w:type="paragraph" w:styleId="Starktcitat">
    <w:name w:val="Intense Quote"/>
    <w:basedOn w:val="Normal"/>
    <w:next w:val="Normal"/>
    <w:link w:val="StarktcitatChar"/>
    <w:uiPriority w:val="30"/>
    <w:qFormat/>
    <w:rsid w:val="00273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273319"/>
    <w:rPr>
      <w:i/>
      <w:iCs/>
      <w:color w:val="2F5496" w:themeColor="accent1" w:themeShade="BF"/>
    </w:rPr>
  </w:style>
  <w:style w:type="character" w:styleId="Starkreferens">
    <w:name w:val="Intense Reference"/>
    <w:basedOn w:val="Standardstycketeckensnitt"/>
    <w:uiPriority w:val="32"/>
    <w:qFormat/>
    <w:rsid w:val="00273319"/>
    <w:rPr>
      <w:b/>
      <w:bCs/>
      <w:smallCaps/>
      <w:color w:val="2F5496" w:themeColor="accent1" w:themeShade="BF"/>
      <w:spacing w:val="5"/>
    </w:rPr>
  </w:style>
  <w:style w:type="character" w:styleId="Kommentarsreferens">
    <w:name w:val="annotation reference"/>
    <w:basedOn w:val="Standardstycketeckensnitt"/>
    <w:uiPriority w:val="99"/>
    <w:semiHidden/>
    <w:unhideWhenUsed/>
    <w:rsid w:val="00273319"/>
    <w:rPr>
      <w:sz w:val="16"/>
      <w:szCs w:val="16"/>
    </w:rPr>
  </w:style>
  <w:style w:type="paragraph" w:styleId="Kommentarer">
    <w:name w:val="annotation text"/>
    <w:basedOn w:val="Normal"/>
    <w:link w:val="KommentarerChar"/>
    <w:uiPriority w:val="99"/>
    <w:unhideWhenUsed/>
    <w:rsid w:val="00273319"/>
    <w:pPr>
      <w:spacing w:line="240" w:lineRule="auto"/>
    </w:pPr>
    <w:rPr>
      <w:sz w:val="20"/>
      <w:szCs w:val="20"/>
    </w:rPr>
  </w:style>
  <w:style w:type="character" w:customStyle="1" w:styleId="KommentarerChar">
    <w:name w:val="Kommentarer Char"/>
    <w:basedOn w:val="Standardstycketeckensnitt"/>
    <w:link w:val="Kommentarer"/>
    <w:uiPriority w:val="99"/>
    <w:rsid w:val="00273319"/>
    <w:rPr>
      <w:sz w:val="20"/>
      <w:szCs w:val="20"/>
    </w:rPr>
  </w:style>
  <w:style w:type="paragraph" w:styleId="Kommentarsmne">
    <w:name w:val="annotation subject"/>
    <w:basedOn w:val="Kommentarer"/>
    <w:next w:val="Kommentarer"/>
    <w:link w:val="KommentarsmneChar"/>
    <w:uiPriority w:val="99"/>
    <w:semiHidden/>
    <w:unhideWhenUsed/>
    <w:rsid w:val="00273319"/>
    <w:rPr>
      <w:b/>
      <w:bCs/>
    </w:rPr>
  </w:style>
  <w:style w:type="character" w:customStyle="1" w:styleId="KommentarsmneChar">
    <w:name w:val="Kommentarsämne Char"/>
    <w:basedOn w:val="KommentarerChar"/>
    <w:link w:val="Kommentarsmne"/>
    <w:uiPriority w:val="99"/>
    <w:semiHidden/>
    <w:rsid w:val="00273319"/>
    <w:rPr>
      <w:b/>
      <w:bCs/>
      <w:sz w:val="20"/>
      <w:szCs w:val="20"/>
    </w:rPr>
  </w:style>
  <w:style w:type="paragraph" w:styleId="Revision">
    <w:name w:val="Revision"/>
    <w:hidden/>
    <w:uiPriority w:val="99"/>
    <w:semiHidden/>
    <w:rsid w:val="006970A3"/>
    <w:pPr>
      <w:spacing w:after="0" w:line="240" w:lineRule="auto"/>
    </w:pPr>
  </w:style>
  <w:style w:type="paragraph" w:styleId="Sidhuvud">
    <w:name w:val="header"/>
    <w:basedOn w:val="Normal"/>
    <w:link w:val="SidhuvudChar"/>
    <w:uiPriority w:val="99"/>
    <w:unhideWhenUsed/>
    <w:rsid w:val="00837A9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37A9B"/>
  </w:style>
  <w:style w:type="paragraph" w:styleId="Sidfot">
    <w:name w:val="footer"/>
    <w:basedOn w:val="Normal"/>
    <w:link w:val="SidfotChar"/>
    <w:uiPriority w:val="99"/>
    <w:unhideWhenUsed/>
    <w:rsid w:val="00837A9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3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309c44-c307-4bd7-9caf-2f627861c3a1">
      <Terms xmlns="http://schemas.microsoft.com/office/infopath/2007/PartnerControls"/>
    </lcf76f155ced4ddcb4097134ff3c332f>
    <TaxCatchAll xmlns="8dec4ed8-1633-4c52-964d-4343eaa82fb1" xsi:nil="true"/>
  </documentManagement>
</p:properties>
</file>

<file path=customXml/item3.xml>��< ? x m l   v e r s i o n = " 1 . 0 "   e n c o d i n g = " u t f - 1 6 " ? > < p r o p e r t i e s   x m l n s = " h t t p : / / w w w . i m a n a g e . c o m / w o r k / x m l s c h e m a " >  
     < d o c u m e n t i d > L E G A L ! 2 2 4 8 1 3 . 2 < / d o c u m e n t i d >  
     < s e n d e r i d > L I F E N < / s e n d e r i d >  
     < s e n d e r e m a i l > L I S A . F E N N H A G E N @ H W F . S E < / s e n d e r e m a i l >  
     < l a s t m o d i f i e d > 2 0 2 4 - 0 4 - 2 4 T 1 6 : 3 8 : 0 0 . 0 0 0 0 0 0 0 + 0 2 : 0 0 < / l a s t m o d i f i e d >  
     < d a t a b a s e > L E G A L < / 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105B377DA1CE4184D9528FAF63A725" ma:contentTypeVersion="18" ma:contentTypeDescription="Create a new document." ma:contentTypeScope="" ma:versionID="023868844d89c977588a6cff4c29cca3">
  <xsd:schema xmlns:xsd="http://www.w3.org/2001/XMLSchema" xmlns:xs="http://www.w3.org/2001/XMLSchema" xmlns:p="http://schemas.microsoft.com/office/2006/metadata/properties" xmlns:ns2="89309c44-c307-4bd7-9caf-2f627861c3a1" xmlns:ns3="8dec4ed8-1633-4c52-964d-4343eaa82fb1" targetNamespace="http://schemas.microsoft.com/office/2006/metadata/properties" ma:root="true" ma:fieldsID="ff4c33c5cad22dfa0b4b7e75797958b0" ns2:_="" ns3:_="">
    <xsd:import namespace="89309c44-c307-4bd7-9caf-2f627861c3a1"/>
    <xsd:import namespace="8dec4ed8-1633-4c52-964d-4343eaa82f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09c44-c307-4bd7-9caf-2f627861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a0f9-160f-452e-8ef9-53d5cb3769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c4ed8-1633-4c52-964d-4343eaa82f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62a13f-63a0-429c-96f0-cf43b0979dd0}" ma:internalName="TaxCatchAll" ma:showField="CatchAllData" ma:web="8dec4ed8-1633-4c52-964d-4343eaa82f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C2918-7AB3-4173-B9F4-7F21B1A504D7}">
  <ds:schemaRefs>
    <ds:schemaRef ds:uri="http://schemas.microsoft.com/sharepoint/v3/contenttype/forms"/>
  </ds:schemaRefs>
</ds:datastoreItem>
</file>

<file path=customXml/itemProps2.xml><?xml version="1.0" encoding="utf-8"?>
<ds:datastoreItem xmlns:ds="http://schemas.openxmlformats.org/officeDocument/2006/customXml" ds:itemID="{3D15759F-4032-4F62-85C5-3060FC78FBC5}">
  <ds:schemaRefs>
    <ds:schemaRef ds:uri="http://schemas.microsoft.com/office/2006/metadata/properties"/>
    <ds:schemaRef ds:uri="http://schemas.microsoft.com/office/infopath/2007/PartnerControls"/>
    <ds:schemaRef ds:uri="89309c44-c307-4bd7-9caf-2f627861c3a1"/>
    <ds:schemaRef ds:uri="8dec4ed8-1633-4c52-964d-4343eaa82fb1"/>
  </ds:schemaRefs>
</ds:datastoreItem>
</file>

<file path=customXml/itemProps3.xml><?xml version="1.0" encoding="utf-8"?>
<ds:datastoreItem xmlns:ds="http://schemas.openxmlformats.org/officeDocument/2006/customXml" ds:itemID="{BD2CB085-2D8D-4B36-9E06-44D9960A9CB1}"/>
</file>

<file path=customXml/itemProps4.xml><?xml version="1.0" encoding="utf-8"?>
<ds:datastoreItem xmlns:ds="http://schemas.openxmlformats.org/officeDocument/2006/customXml" ds:itemID="{2BD845D5-5841-474D-8763-90F303D57425}"/>
</file>

<file path=docProps/app.xml><?xml version="1.0" encoding="utf-8"?>
<Properties xmlns="http://schemas.openxmlformats.org/officeDocument/2006/extended-properties" xmlns:vt="http://schemas.openxmlformats.org/officeDocument/2006/docPropsVTypes">
  <Template>Normal</Template>
  <TotalTime>15</TotalTime>
  <Pages>2</Pages>
  <Words>1119</Words>
  <Characters>5935</Characters>
  <Application>Microsoft Office Word</Application>
  <DocSecurity>0</DocSecurity>
  <Lines>49</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Åkerblom</dc:creator>
  <cp:keywords/>
  <dc:description/>
  <cp:lastModifiedBy>Julia Donelli</cp:lastModifiedBy>
  <cp:revision>22</cp:revision>
  <dcterms:created xsi:type="dcterms:W3CDTF">2024-04-17T12:27:00Z</dcterms:created>
  <dcterms:modified xsi:type="dcterms:W3CDTF">2024-04-24T14:38:00Z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0x010100A3105B377DA1CE4184D9528FAF63A725</vt:lpwstr>
  </property>
</Properties>
</file>